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89B2E1">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lang w:val="en-US" w:eastAsia="zh-Hans"/>
        </w:rPr>
      </w:pPr>
      <w:r>
        <w:rPr>
          <w:rFonts w:hint="eastAsia" w:ascii="宋体" w:hAnsi="宋体" w:eastAsia="宋体" w:cs="宋体"/>
          <w:sz w:val="24"/>
          <w:szCs w:val="24"/>
        </w:rPr>
        <w:br w:type="textWrapping"/>
      </w:r>
    </w:p>
    <w:p w14:paraId="27089D21">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w:t>
      </w:r>
    </w:p>
    <w:p w14:paraId="3C987495">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p w14:paraId="40324112">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p w14:paraId="56F7CE0A">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72"/>
          <w:szCs w:val="72"/>
        </w:rPr>
      </w:pPr>
      <w:r>
        <w:rPr>
          <w:rFonts w:hint="eastAsia" w:ascii="宋体" w:hAnsi="宋体" w:eastAsia="宋体" w:cs="宋体"/>
          <w:b/>
          <w:sz w:val="72"/>
          <w:szCs w:val="72"/>
        </w:rPr>
        <w:t>福建省政府采购</w:t>
      </w:r>
    </w:p>
    <w:p w14:paraId="0A0E6639">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72"/>
          <w:szCs w:val="72"/>
        </w:rPr>
      </w:pPr>
      <w:r>
        <w:rPr>
          <w:rFonts w:hint="eastAsia" w:ascii="宋体" w:hAnsi="宋体" w:eastAsia="宋体" w:cs="宋体"/>
          <w:b/>
          <w:sz w:val="72"/>
          <w:szCs w:val="72"/>
        </w:rPr>
        <w:t>货物和服务项目</w:t>
      </w:r>
    </w:p>
    <w:p w14:paraId="531B82E9">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72"/>
          <w:szCs w:val="72"/>
        </w:rPr>
      </w:pPr>
      <w:r>
        <w:rPr>
          <w:rFonts w:hint="eastAsia" w:ascii="宋体" w:hAnsi="宋体" w:eastAsia="宋体" w:cs="宋体"/>
          <w:b/>
          <w:sz w:val="72"/>
          <w:szCs w:val="72"/>
        </w:rPr>
        <w:t>公开招标文件</w:t>
      </w:r>
      <w:bookmarkStart w:id="0" w:name="_GoBack"/>
      <w:bookmarkEnd w:id="0"/>
    </w:p>
    <w:p w14:paraId="0B88EA83">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sz w:val="48"/>
          <w:szCs w:val="48"/>
          <w:lang w:eastAsia="zh-CN"/>
        </w:rPr>
      </w:pPr>
    </w:p>
    <w:p w14:paraId="25C36D11">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sz w:val="48"/>
          <w:szCs w:val="48"/>
          <w:lang w:eastAsia="zh-CN"/>
        </w:rPr>
      </w:pPr>
    </w:p>
    <w:p w14:paraId="336CF4F0">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sz w:val="48"/>
          <w:szCs w:val="48"/>
          <w:lang w:eastAsia="zh-CN"/>
        </w:rPr>
      </w:pPr>
      <w:r>
        <w:rPr>
          <w:rFonts w:hint="eastAsia" w:ascii="宋体" w:hAnsi="宋体" w:eastAsia="宋体" w:cs="宋体"/>
          <w:b/>
          <w:sz w:val="48"/>
          <w:szCs w:val="48"/>
          <w:lang w:eastAsia="zh-CN"/>
        </w:rPr>
        <w:t>（</w:t>
      </w:r>
      <w:r>
        <w:rPr>
          <w:rFonts w:hint="eastAsia" w:ascii="宋体" w:hAnsi="宋体" w:eastAsia="宋体" w:cs="宋体"/>
          <w:b/>
          <w:sz w:val="48"/>
          <w:szCs w:val="48"/>
          <w:lang w:val="en-US" w:eastAsia="zh-CN"/>
        </w:rPr>
        <w:t>预公告稿</w:t>
      </w:r>
      <w:r>
        <w:rPr>
          <w:rFonts w:hint="eastAsia" w:ascii="宋体" w:hAnsi="宋体" w:eastAsia="宋体" w:cs="宋体"/>
          <w:b/>
          <w:sz w:val="48"/>
          <w:szCs w:val="48"/>
          <w:lang w:eastAsia="zh-CN"/>
        </w:rPr>
        <w:t>）</w:t>
      </w:r>
    </w:p>
    <w:p w14:paraId="0DAD3EB2">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b/>
          <w:sz w:val="32"/>
          <w:szCs w:val="32"/>
        </w:rPr>
      </w:pPr>
    </w:p>
    <w:p w14:paraId="48C23519">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b/>
          <w:sz w:val="32"/>
          <w:szCs w:val="32"/>
        </w:rPr>
      </w:pPr>
    </w:p>
    <w:p w14:paraId="73C8B3D9">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32"/>
          <w:szCs w:val="32"/>
        </w:rPr>
      </w:pPr>
      <w:r>
        <w:rPr>
          <w:rFonts w:hint="eastAsia" w:ascii="宋体" w:hAnsi="宋体" w:eastAsia="宋体" w:cs="宋体"/>
          <w:b/>
          <w:sz w:val="32"/>
          <w:szCs w:val="32"/>
        </w:rPr>
        <w:t>项目名称：</w:t>
      </w:r>
      <w:r>
        <w:rPr>
          <w:rFonts w:hint="eastAsia" w:ascii="宋体" w:hAnsi="宋体" w:eastAsia="宋体" w:cs="宋体"/>
          <w:b/>
          <w:sz w:val="32"/>
          <w:szCs w:val="32"/>
          <w:lang w:val="en-US" w:eastAsia="zh-CN"/>
        </w:rPr>
        <w:t>武平县总医院区域检验中心等整体服务采购项目</w:t>
      </w:r>
    </w:p>
    <w:p w14:paraId="088274F2">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32"/>
          <w:szCs w:val="32"/>
          <w:lang w:val="en-US" w:eastAsia="zh-CN"/>
        </w:rPr>
      </w:pPr>
      <w:r>
        <w:rPr>
          <w:rFonts w:hint="eastAsia" w:ascii="宋体" w:hAnsi="宋体" w:eastAsia="宋体" w:cs="宋体"/>
          <w:b/>
          <w:sz w:val="32"/>
          <w:szCs w:val="32"/>
        </w:rPr>
        <w:t>备案编号：</w:t>
      </w:r>
      <w:r>
        <w:rPr>
          <w:rFonts w:hint="eastAsia" w:ascii="宋体" w:hAnsi="宋体" w:eastAsia="宋体" w:cs="宋体"/>
          <w:b/>
          <w:sz w:val="32"/>
          <w:szCs w:val="32"/>
          <w:lang w:val="en-US" w:eastAsia="zh-CN"/>
        </w:rPr>
        <w:t>/</w:t>
      </w:r>
    </w:p>
    <w:p w14:paraId="7D4EA976">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32"/>
          <w:szCs w:val="32"/>
          <w:lang w:val="en-US" w:eastAsia="zh-CN"/>
        </w:rPr>
      </w:pPr>
      <w:r>
        <w:rPr>
          <w:rFonts w:hint="eastAsia" w:ascii="宋体" w:hAnsi="宋体" w:eastAsia="宋体" w:cs="宋体"/>
          <w:b/>
          <w:sz w:val="32"/>
          <w:szCs w:val="32"/>
        </w:rPr>
        <w:t>项目编号：</w:t>
      </w:r>
      <w:r>
        <w:rPr>
          <w:rFonts w:hint="eastAsia" w:ascii="宋体" w:hAnsi="宋体" w:eastAsia="宋体" w:cs="宋体"/>
          <w:b/>
          <w:sz w:val="32"/>
          <w:szCs w:val="32"/>
          <w:lang w:val="en-US" w:eastAsia="zh-CN"/>
        </w:rPr>
        <w:t>/</w:t>
      </w:r>
    </w:p>
    <w:p w14:paraId="73F45C95">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32"/>
          <w:szCs w:val="32"/>
        </w:rPr>
      </w:pPr>
    </w:p>
    <w:p w14:paraId="3B1D38C8">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sz w:val="32"/>
          <w:szCs w:val="32"/>
        </w:rPr>
      </w:pPr>
    </w:p>
    <w:p w14:paraId="0B6CB040">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b/>
          <w:sz w:val="32"/>
          <w:szCs w:val="32"/>
        </w:rPr>
      </w:pPr>
    </w:p>
    <w:p w14:paraId="3551DA87">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32"/>
          <w:szCs w:val="32"/>
        </w:rPr>
      </w:pPr>
      <w:r>
        <w:rPr>
          <w:rFonts w:hint="eastAsia" w:ascii="宋体" w:hAnsi="宋体" w:eastAsia="宋体" w:cs="宋体"/>
          <w:b/>
          <w:sz w:val="32"/>
          <w:szCs w:val="32"/>
        </w:rPr>
        <w:t>采购人：</w:t>
      </w:r>
      <w:r>
        <w:rPr>
          <w:rFonts w:hint="eastAsia" w:ascii="宋体" w:hAnsi="宋体" w:eastAsia="宋体" w:cs="宋体"/>
          <w:b/>
          <w:sz w:val="32"/>
          <w:szCs w:val="32"/>
          <w:lang w:val="en-US" w:eastAsia="zh-CN"/>
        </w:rPr>
        <w:t>武平县总医院</w:t>
      </w:r>
    </w:p>
    <w:p w14:paraId="4920F53A">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32"/>
          <w:szCs w:val="32"/>
        </w:rPr>
      </w:pPr>
      <w:r>
        <w:rPr>
          <w:rFonts w:hint="eastAsia" w:ascii="宋体" w:hAnsi="宋体" w:eastAsia="宋体" w:cs="宋体"/>
          <w:b/>
          <w:sz w:val="32"/>
          <w:szCs w:val="32"/>
        </w:rPr>
        <w:t>代理机构：福建榕卫招标有限公司</w:t>
      </w:r>
    </w:p>
    <w:p w14:paraId="655AF0C0">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32"/>
          <w:szCs w:val="32"/>
        </w:rPr>
      </w:pPr>
      <w:r>
        <w:rPr>
          <w:rFonts w:hint="eastAsia" w:ascii="宋体" w:hAnsi="宋体" w:eastAsia="宋体" w:cs="宋体"/>
          <w:b/>
          <w:sz w:val="32"/>
          <w:szCs w:val="32"/>
        </w:rPr>
        <w:t>编制时间：2025年1</w:t>
      </w:r>
      <w:r>
        <w:rPr>
          <w:rFonts w:hint="eastAsia" w:ascii="宋体" w:hAnsi="宋体" w:eastAsia="宋体" w:cs="宋体"/>
          <w:b/>
          <w:sz w:val="32"/>
          <w:szCs w:val="32"/>
          <w:lang w:val="en-US" w:eastAsia="zh-CN"/>
        </w:rPr>
        <w:t>2</w:t>
      </w:r>
      <w:r>
        <w:rPr>
          <w:rFonts w:hint="eastAsia" w:ascii="宋体" w:hAnsi="宋体" w:eastAsia="宋体" w:cs="宋体"/>
          <w:b/>
          <w:sz w:val="32"/>
          <w:szCs w:val="32"/>
        </w:rPr>
        <w:t>月</w:t>
      </w:r>
    </w:p>
    <w:p w14:paraId="5C43EAAD">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24"/>
          <w:szCs w:val="24"/>
        </w:rPr>
        <w:t>第一章 投标邀请</w:t>
      </w:r>
    </w:p>
    <w:p w14:paraId="5504E7C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福建榕卫招标有限公司 采用公开招标方式组织</w:t>
      </w:r>
      <w:r>
        <w:rPr>
          <w:rFonts w:hint="eastAsia" w:ascii="宋体" w:hAnsi="宋体" w:eastAsia="宋体" w:cs="宋体"/>
          <w:sz w:val="24"/>
          <w:szCs w:val="24"/>
          <w:lang w:val="en-US" w:eastAsia="zh-CN"/>
        </w:rPr>
        <w:t xml:space="preserve"> 武平县总医院区域检验中心等整体服务采购项目</w:t>
      </w:r>
      <w:r>
        <w:rPr>
          <w:rFonts w:hint="eastAsia" w:ascii="宋体" w:hAnsi="宋体" w:eastAsia="宋体" w:cs="宋体"/>
          <w:sz w:val="24"/>
          <w:szCs w:val="24"/>
        </w:rPr>
        <w:t>（以下简称：“本项目”）的政府采购活动，现邀请供应商参加投标。</w:t>
      </w:r>
    </w:p>
    <w:p w14:paraId="41FA17A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outlineLvl w:val="2"/>
        <w:rPr>
          <w:rFonts w:hint="eastAsia" w:ascii="宋体" w:hAnsi="宋体" w:eastAsia="宋体" w:cs="宋体"/>
          <w:sz w:val="24"/>
          <w:szCs w:val="24"/>
          <w:lang w:val="en-US" w:eastAsia="zh-CN"/>
        </w:rPr>
      </w:pPr>
      <w:r>
        <w:rPr>
          <w:rFonts w:hint="eastAsia" w:ascii="宋体" w:hAnsi="宋体" w:eastAsia="宋体" w:cs="宋体"/>
          <w:b/>
          <w:sz w:val="24"/>
          <w:szCs w:val="24"/>
        </w:rPr>
        <w:t>1、备案编号：</w:t>
      </w:r>
      <w:r>
        <w:rPr>
          <w:rFonts w:hint="eastAsia" w:ascii="宋体" w:hAnsi="宋体" w:eastAsia="宋体" w:cs="宋体"/>
          <w:b/>
          <w:sz w:val="24"/>
          <w:szCs w:val="24"/>
          <w:lang w:val="en-US" w:eastAsia="zh-CN"/>
        </w:rPr>
        <w:t>/</w:t>
      </w:r>
    </w:p>
    <w:p w14:paraId="146FB22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outlineLvl w:val="2"/>
        <w:rPr>
          <w:rFonts w:hint="eastAsia" w:ascii="宋体" w:hAnsi="宋体" w:eastAsia="宋体" w:cs="宋体"/>
          <w:sz w:val="24"/>
          <w:szCs w:val="24"/>
        </w:rPr>
      </w:pPr>
      <w:r>
        <w:rPr>
          <w:rFonts w:hint="eastAsia" w:ascii="宋体" w:hAnsi="宋体" w:eastAsia="宋体" w:cs="宋体"/>
          <w:b/>
          <w:sz w:val="24"/>
          <w:szCs w:val="24"/>
        </w:rPr>
        <w:t>2、项目编号：</w:t>
      </w:r>
      <w:r>
        <w:rPr>
          <w:rFonts w:hint="eastAsia" w:ascii="宋体" w:hAnsi="宋体" w:eastAsia="宋体" w:cs="宋体"/>
          <w:b/>
          <w:sz w:val="24"/>
          <w:szCs w:val="24"/>
          <w:lang w:val="en-US" w:eastAsia="zh-CN"/>
        </w:rPr>
        <w:t>/</w:t>
      </w:r>
    </w:p>
    <w:p w14:paraId="7F21E85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3、预算金额、最高限价：详见《采购标的一览表》。</w:t>
      </w:r>
    </w:p>
    <w:p w14:paraId="1EBE5DF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outlineLvl w:val="2"/>
        <w:rPr>
          <w:rFonts w:hint="eastAsia" w:ascii="宋体" w:hAnsi="宋体" w:eastAsia="宋体" w:cs="宋体"/>
          <w:sz w:val="24"/>
          <w:szCs w:val="24"/>
        </w:rPr>
      </w:pPr>
      <w:r>
        <w:rPr>
          <w:rFonts w:hint="eastAsia" w:ascii="宋体" w:hAnsi="宋体" w:eastAsia="宋体" w:cs="宋体"/>
          <w:b/>
          <w:sz w:val="24"/>
          <w:szCs w:val="24"/>
        </w:rPr>
        <w:t>4、招标内容及要求：详见《采购标的一览表》及招标文件第五章。</w:t>
      </w:r>
    </w:p>
    <w:p w14:paraId="62EAD08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outlineLvl w:val="2"/>
        <w:rPr>
          <w:rFonts w:hint="eastAsia" w:ascii="宋体" w:hAnsi="宋体" w:eastAsia="宋体" w:cs="宋体"/>
          <w:sz w:val="24"/>
          <w:szCs w:val="24"/>
        </w:rPr>
      </w:pPr>
      <w:r>
        <w:rPr>
          <w:rFonts w:hint="eastAsia" w:ascii="宋体" w:hAnsi="宋体" w:eastAsia="宋体" w:cs="宋体"/>
          <w:b/>
          <w:sz w:val="24"/>
          <w:szCs w:val="24"/>
        </w:rPr>
        <w:t>5、需要落实的政府采购政策</w:t>
      </w:r>
    </w:p>
    <w:p w14:paraId="08C5CFD0">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进口产品：否</w:t>
      </w:r>
    </w:p>
    <w:p w14:paraId="064DB06B">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节能产品：否</w:t>
      </w:r>
    </w:p>
    <w:p w14:paraId="273F9F5C">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环境标志产品：否</w:t>
      </w:r>
    </w:p>
    <w:p w14:paraId="7F388C7A">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促进中小企业发展的相关政策：</w:t>
      </w:r>
    </w:p>
    <w:p w14:paraId="4C0813F1">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采购包1：要求合同分包</w:t>
      </w:r>
    </w:p>
    <w:p w14:paraId="73C17672">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面向的企业规模：中小企业</w:t>
      </w:r>
    </w:p>
    <w:p w14:paraId="3BCBA42B">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预留形式：要求合同分包</w:t>
      </w:r>
    </w:p>
    <w:p w14:paraId="53BB0556">
      <w:pPr>
        <w:pStyle w:val="11"/>
        <w:keepNext w:val="0"/>
        <w:keepLines w:val="0"/>
        <w:pageBreakBefore w:val="0"/>
        <w:kinsoku/>
        <w:wordWrap/>
        <w:overflowPunct/>
        <w:topLinePunct w:val="0"/>
        <w:autoSpaceDE/>
        <w:autoSpaceDN/>
        <w:bidi w:val="0"/>
        <w:adjustRightInd/>
        <w:snapToGrid/>
        <w:spacing w:line="360" w:lineRule="auto"/>
        <w:ind w:firstLine="787" w:firstLineChars="328"/>
        <w:jc w:val="both"/>
        <w:textAlignment w:val="auto"/>
        <w:outlineLvl w:val="2"/>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预留比例：</w:t>
      </w:r>
      <w:r>
        <w:rPr>
          <w:rFonts w:hint="eastAsia" w:ascii="宋体" w:hAnsi="宋体" w:eastAsia="宋体" w:cs="宋体"/>
          <w:b w:val="0"/>
          <w:bCs/>
          <w:sz w:val="24"/>
          <w:szCs w:val="24"/>
          <w:highlight w:val="none"/>
          <w:lang w:val="en-US" w:eastAsia="zh-CN"/>
        </w:rPr>
        <w:t>50</w:t>
      </w:r>
      <w:r>
        <w:rPr>
          <w:rFonts w:hint="eastAsia" w:ascii="宋体" w:hAnsi="宋体" w:eastAsia="宋体" w:cs="宋体"/>
          <w:b w:val="0"/>
          <w:bCs/>
          <w:sz w:val="24"/>
          <w:szCs w:val="24"/>
          <w:highlight w:val="none"/>
        </w:rPr>
        <w:t>%</w:t>
      </w:r>
    </w:p>
    <w:p w14:paraId="28F6382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6、投标人的资格要求</w:t>
      </w:r>
    </w:p>
    <w:p w14:paraId="5C254CA4">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6.1法定条件：符合政府采购法第二十二条第一款规定的条件。</w:t>
      </w:r>
    </w:p>
    <w:p w14:paraId="5B687690">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6.2特定条件：</w:t>
      </w:r>
    </w:p>
    <w:p w14:paraId="44997B92">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采购包1：</w:t>
      </w: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245"/>
        <w:gridCol w:w="6997"/>
      </w:tblGrid>
      <w:tr w14:paraId="4014E7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245" w:type="dxa"/>
          </w:tcPr>
          <w:p w14:paraId="4CC7017B">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资格审查要求概况</w:t>
            </w:r>
          </w:p>
        </w:tc>
        <w:tc>
          <w:tcPr>
            <w:tcW w:w="6997" w:type="dxa"/>
          </w:tcPr>
          <w:p w14:paraId="3ADC68C3">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评审点具体描述</w:t>
            </w:r>
          </w:p>
        </w:tc>
      </w:tr>
      <w:tr w14:paraId="2B552DE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245" w:type="dxa"/>
            <w:vAlign w:val="center"/>
          </w:tcPr>
          <w:p w14:paraId="5F1F916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资格承诺函</w:t>
            </w:r>
          </w:p>
        </w:tc>
        <w:tc>
          <w:tcPr>
            <w:tcW w:w="6997" w:type="dxa"/>
            <w:vAlign w:val="center"/>
          </w:tcPr>
          <w:p w14:paraId="0188D58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14:paraId="4B46998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245" w:type="dxa"/>
            <w:vAlign w:val="center"/>
          </w:tcPr>
          <w:p w14:paraId="10111D24">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特定资格条件</w:t>
            </w:r>
          </w:p>
        </w:tc>
        <w:tc>
          <w:tcPr>
            <w:tcW w:w="6997" w:type="dxa"/>
            <w:vAlign w:val="center"/>
          </w:tcPr>
          <w:p w14:paraId="58465D6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投标人须</w:t>
            </w:r>
            <w:r>
              <w:rPr>
                <w:rFonts w:hint="eastAsia" w:ascii="宋体" w:hAnsi="宋体" w:eastAsia="宋体" w:cs="宋体"/>
                <w:sz w:val="24"/>
                <w:szCs w:val="24"/>
                <w:highlight w:val="none"/>
                <w:lang w:val="en-US" w:eastAsia="zh-CN"/>
              </w:rPr>
              <w:t>具备</w:t>
            </w:r>
            <w:r>
              <w:rPr>
                <w:rFonts w:hint="eastAsia" w:ascii="宋体" w:hAnsi="宋体" w:eastAsia="宋体" w:cs="宋体"/>
                <w:sz w:val="24"/>
                <w:szCs w:val="24"/>
                <w:highlight w:val="none"/>
              </w:rPr>
              <w:t>《医疗机构执业许可证》</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须提供</w:t>
            </w:r>
            <w:r>
              <w:rPr>
                <w:rFonts w:hint="eastAsia" w:ascii="宋体" w:hAnsi="宋体" w:eastAsia="宋体" w:cs="宋体"/>
                <w:sz w:val="24"/>
                <w:szCs w:val="24"/>
                <w:highlight w:val="none"/>
              </w:rPr>
              <w:t>医疗机构执业许可证</w:t>
            </w:r>
            <w:r>
              <w:rPr>
                <w:rFonts w:hint="eastAsia" w:ascii="宋体" w:hAnsi="宋体" w:eastAsia="宋体" w:cs="宋体"/>
                <w:sz w:val="24"/>
                <w:szCs w:val="24"/>
                <w:highlight w:val="none"/>
                <w:lang w:val="en-US" w:eastAsia="zh-CN"/>
              </w:rPr>
              <w:t>复印件加盖投标人公章。</w:t>
            </w:r>
          </w:p>
        </w:tc>
      </w:tr>
    </w:tbl>
    <w:p w14:paraId="128AC868">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6.3是否接受联合体投标：</w:t>
      </w:r>
    </w:p>
    <w:p w14:paraId="426C38C1">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采购包1：不接受</w:t>
      </w:r>
    </w:p>
    <w:p w14:paraId="6C68363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b/>
          <w:sz w:val="24"/>
          <w:szCs w:val="24"/>
        </w:rPr>
        <w:t>※根据上述资格要求，电子投标文件中应提交的“投标人的资格及资信证明文件”详见招标文件第四章。</w:t>
      </w:r>
    </w:p>
    <w:p w14:paraId="0DA7C2D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7、招标文件的获取</w:t>
      </w:r>
    </w:p>
    <w:p w14:paraId="3E0F7EDF">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7.1、招标文件获取期限：详见招标公告或更正公告，若不一致，以更正公告为准。</w:t>
      </w:r>
    </w:p>
    <w:p w14:paraId="5BE0D7A7">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7.2、在招标文件获取期限内，供应商应通过福建省政府采购网上公开信息系统的注册账号（免费注册）并获取招标文件(登录福建省政府采购网上公开信息系统进行文件获取)，否则投标将被拒绝。</w:t>
      </w:r>
    </w:p>
    <w:p w14:paraId="00EA24A7">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7.3、获取地点及方式：注册账号后，通过福建省政府采购网上公开信息系统以下载方式获取。</w:t>
      </w:r>
    </w:p>
    <w:p w14:paraId="5F183563">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7.4、招标文件售价：0元。</w:t>
      </w:r>
    </w:p>
    <w:p w14:paraId="2E44525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8、投标截止</w:t>
      </w:r>
    </w:p>
    <w:p w14:paraId="774353EC">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8.1、投标截止时间：详见招标公告或更正公告，若不一致，以更正公告为准。</w:t>
      </w:r>
    </w:p>
    <w:p w14:paraId="44402E5E">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8.2、投标人应在投标截止时间前按照福建省政府采购网上公开信息系统设定的操作流程将电子投标文件上传至福建省政府采购网上公开信息系统，否则投标将被拒绝。</w:t>
      </w:r>
    </w:p>
    <w:p w14:paraId="1B6C4C7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9、开标时间及地点</w:t>
      </w:r>
    </w:p>
    <w:p w14:paraId="0EB9FECC">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详见招标公告或更正公告，若不一致，以更正公告为准。</w:t>
      </w:r>
    </w:p>
    <w:p w14:paraId="467F61F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10、公告期限</w:t>
      </w:r>
    </w:p>
    <w:p w14:paraId="1D65F472">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10.1、招标公告的公告期限：自财政部和福建省财政厅指定的政府采购信息发布媒体最先发布公告之日起5个工作日。</w:t>
      </w:r>
    </w:p>
    <w:p w14:paraId="45D7218B">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10.2、招标文件公告期限：招标文件随同招标公告一并发布，其公告期限与招标公告的公告期限保持一致。</w:t>
      </w:r>
    </w:p>
    <w:p w14:paraId="7B143C4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outlineLvl w:val="2"/>
        <w:rPr>
          <w:rFonts w:hint="eastAsia" w:ascii="宋体" w:hAnsi="宋体" w:eastAsia="宋体" w:cs="宋体"/>
          <w:sz w:val="24"/>
          <w:szCs w:val="24"/>
        </w:rPr>
      </w:pPr>
      <w:r>
        <w:rPr>
          <w:rFonts w:hint="eastAsia" w:ascii="宋体" w:hAnsi="宋体" w:eastAsia="宋体" w:cs="宋体"/>
          <w:b/>
          <w:sz w:val="24"/>
          <w:szCs w:val="24"/>
        </w:rPr>
        <w:t>11、采购人：</w:t>
      </w:r>
      <w:r>
        <w:rPr>
          <w:rFonts w:hint="eastAsia" w:ascii="宋体" w:hAnsi="宋体" w:eastAsia="宋体" w:cs="宋体"/>
          <w:sz w:val="24"/>
          <w:szCs w:val="24"/>
          <w:lang w:val="en-US" w:eastAsia="zh-CN"/>
        </w:rPr>
        <w:t>武平县总医院</w:t>
      </w:r>
    </w:p>
    <w:p w14:paraId="7E3971D5">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地址：</w:t>
      </w:r>
      <w:r>
        <w:rPr>
          <w:rFonts w:hint="eastAsia" w:ascii="宋体" w:hAnsi="宋体" w:eastAsia="宋体" w:cs="宋体"/>
          <w:i w:val="0"/>
          <w:iCs w:val="0"/>
          <w:caps w:val="0"/>
          <w:color w:val="222222"/>
          <w:spacing w:val="0"/>
          <w:sz w:val="24"/>
          <w:szCs w:val="24"/>
          <w:shd w:val="clear" w:fill="FFFFFF"/>
        </w:rPr>
        <w:t>武平县平川街道竹园路17号</w:t>
      </w:r>
      <w:r>
        <w:rPr>
          <w:rFonts w:hint="eastAsia" w:ascii="宋体" w:hAnsi="宋体" w:eastAsia="宋体" w:cs="宋体"/>
          <w:sz w:val="24"/>
          <w:szCs w:val="24"/>
        </w:rPr>
        <w:t xml:space="preserve"> </w:t>
      </w:r>
    </w:p>
    <w:p w14:paraId="68BDC77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邮编：364399 </w:t>
      </w:r>
    </w:p>
    <w:p w14:paraId="2722759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联系人：</w:t>
      </w:r>
      <w:r>
        <w:rPr>
          <w:rFonts w:hint="eastAsia" w:ascii="宋体" w:hAnsi="宋体" w:eastAsia="宋体" w:cs="宋体"/>
          <w:sz w:val="24"/>
          <w:szCs w:val="24"/>
          <w:lang w:val="en-US" w:eastAsia="zh-CN"/>
        </w:rPr>
        <w:t>李先生</w:t>
      </w:r>
      <w:r>
        <w:rPr>
          <w:rFonts w:hint="eastAsia" w:ascii="宋体" w:hAnsi="宋体" w:eastAsia="宋体" w:cs="宋体"/>
          <w:sz w:val="24"/>
          <w:szCs w:val="24"/>
        </w:rPr>
        <w:t xml:space="preserve"> </w:t>
      </w:r>
    </w:p>
    <w:p w14:paraId="0FD6C07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联系电话：</w:t>
      </w:r>
      <w:r>
        <w:rPr>
          <w:rFonts w:hint="eastAsia" w:ascii="宋体" w:hAnsi="宋体" w:eastAsia="宋体" w:cs="宋体"/>
          <w:i w:val="0"/>
          <w:iCs w:val="0"/>
          <w:caps w:val="0"/>
          <w:color w:val="222222"/>
          <w:spacing w:val="0"/>
          <w:sz w:val="24"/>
          <w:szCs w:val="24"/>
          <w:shd w:val="clear" w:fill="FFFFFF"/>
        </w:rPr>
        <w:t>18149566148</w:t>
      </w:r>
    </w:p>
    <w:p w14:paraId="04228D4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outlineLvl w:val="2"/>
        <w:rPr>
          <w:rFonts w:hint="eastAsia" w:ascii="宋体" w:hAnsi="宋体" w:eastAsia="宋体" w:cs="宋体"/>
          <w:sz w:val="24"/>
          <w:szCs w:val="24"/>
        </w:rPr>
      </w:pPr>
      <w:r>
        <w:rPr>
          <w:rFonts w:hint="eastAsia" w:ascii="宋体" w:hAnsi="宋体" w:eastAsia="宋体" w:cs="宋体"/>
          <w:b/>
          <w:sz w:val="24"/>
          <w:szCs w:val="24"/>
        </w:rPr>
        <w:t>12、代理机构：福建榕卫招标有限公司</w:t>
      </w:r>
    </w:p>
    <w:p w14:paraId="65B6AE6C">
      <w:pPr>
        <w:pStyle w:val="11"/>
        <w:keepNext w:val="0"/>
        <w:keepLines w:val="0"/>
        <w:pageBreakBefore w:val="0"/>
        <w:kinsoku/>
        <w:wordWrap/>
        <w:overflowPunct/>
        <w:topLinePunct w:val="0"/>
        <w:autoSpaceDE/>
        <w:autoSpaceDN/>
        <w:bidi w:val="0"/>
        <w:adjustRightInd/>
        <w:snapToGrid/>
        <w:spacing w:line="360" w:lineRule="auto"/>
        <w:ind w:firstLine="960"/>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地址：福建省福州市鼓楼区洪山镇洪山园路52号华润万象城（三期）S11#楼6层01-03、05-13、15-17、33办公。龙岩分公司：龙岩市龙岩大道商务运营中心E栋804（本项目有关的询问、质疑等均联系龙岩分公司）</w:t>
      </w:r>
    </w:p>
    <w:p w14:paraId="07C4981B">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邮编：350000（福州）/364000(龙岩）</w:t>
      </w:r>
    </w:p>
    <w:p w14:paraId="117E3C1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联系人：</w:t>
      </w:r>
      <w:r>
        <w:rPr>
          <w:rFonts w:hint="eastAsia" w:ascii="宋体" w:hAnsi="宋体" w:eastAsia="宋体" w:cs="宋体"/>
          <w:sz w:val="24"/>
          <w:szCs w:val="24"/>
          <w:lang w:val="en-US" w:eastAsia="zh-CN"/>
        </w:rPr>
        <w:t>邓宝宝、刘晓兰、汤路珊</w:t>
      </w:r>
      <w:r>
        <w:rPr>
          <w:rFonts w:hint="eastAsia" w:ascii="宋体" w:hAnsi="宋体" w:eastAsia="宋体" w:cs="宋体"/>
          <w:sz w:val="24"/>
          <w:szCs w:val="24"/>
        </w:rPr>
        <w:t xml:space="preserve"> </w:t>
      </w:r>
    </w:p>
    <w:p w14:paraId="1CABA50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联系电话：0597-2556736</w:t>
      </w:r>
    </w:p>
    <w:p w14:paraId="76CF1B82">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b/>
          <w:sz w:val="24"/>
          <w:szCs w:val="24"/>
        </w:rPr>
      </w:pPr>
    </w:p>
    <w:p w14:paraId="4E1A5BC8">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附1：账户信息</w:t>
      </w:r>
    </w:p>
    <w:tbl>
      <w:tblPr>
        <w:tblStyle w:val="8"/>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242"/>
      </w:tblGrid>
      <w:tr w14:paraId="12BA9E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42E1EA95">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投标保证金账户</w:t>
            </w:r>
          </w:p>
        </w:tc>
      </w:tr>
      <w:tr w14:paraId="28CAA12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6D60B85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开户名称： 福建榕卫招标有限公司</w:t>
            </w:r>
          </w:p>
        </w:tc>
      </w:tr>
      <w:tr w14:paraId="778C2E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3830411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开户银行：供应商在福建省政府采购网上公开信息系统获取招标文件后，根据其提示自行选择要缴交的投标保证金托管银行。</w:t>
            </w:r>
          </w:p>
        </w:tc>
      </w:tr>
      <w:tr w14:paraId="6D2F04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2E75803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银行账号：福建省政府采购网上公开信息系统根据供应商选择的投标保证金托管银行自动生成供应商所投采购包的缴交银行账号（即多个采购包将对应生成多个缴交账号）。供应商应按照所投采购包的投标保证金要求，缴交相应的投标保证金。</w:t>
            </w:r>
          </w:p>
        </w:tc>
      </w:tr>
      <w:tr w14:paraId="7B0DB17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452B10B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特别提示</w:t>
            </w:r>
          </w:p>
        </w:tc>
      </w:tr>
      <w:tr w14:paraId="2EE7C0D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26C9F27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1、投标人应认真核对账户信息，将投标保证金汇入以上账户，并自行承担因汇错投标保证金而产生的一切后果。</w:t>
            </w:r>
          </w:p>
          <w:p w14:paraId="576D181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2、投标人在转账或电汇的凭证上应按照以下格式注明，以便核对：“（项目编号：***）的投标保证金”。</w:t>
            </w:r>
          </w:p>
        </w:tc>
      </w:tr>
    </w:tbl>
    <w:p w14:paraId="51D9CD8C">
      <w:pPr>
        <w:rPr>
          <w:rFonts w:hint="eastAsia" w:ascii="宋体" w:hAnsi="宋体" w:eastAsia="宋体" w:cs="宋体"/>
          <w:b/>
          <w:sz w:val="24"/>
          <w:szCs w:val="24"/>
        </w:rPr>
      </w:pPr>
      <w:r>
        <w:rPr>
          <w:rFonts w:hint="eastAsia" w:ascii="宋体" w:hAnsi="宋体" w:eastAsia="宋体" w:cs="宋体"/>
          <w:b/>
          <w:sz w:val="24"/>
          <w:szCs w:val="24"/>
        </w:rPr>
        <w:br w:type="page"/>
      </w:r>
    </w:p>
    <w:p w14:paraId="6FB7386D">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附2：采购标的一览表</w:t>
      </w:r>
    </w:p>
    <w:p w14:paraId="0EDEFE1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w:t>
      </w:r>
    </w:p>
    <w:p w14:paraId="626F413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采购包预算金额（元）: </w:t>
      </w:r>
      <w:r>
        <w:rPr>
          <w:rFonts w:hint="eastAsia" w:asciiTheme="minorEastAsia" w:hAnsiTheme="minorEastAsia" w:cstheme="minorEastAsia"/>
          <w:b w:val="0"/>
          <w:bCs w:val="0"/>
          <w:color w:val="auto"/>
          <w:sz w:val="24"/>
          <w:szCs w:val="24"/>
          <w:highlight w:val="none"/>
          <w:lang w:val="en-US" w:eastAsia="zh-CN"/>
        </w:rPr>
        <w:t>19810000</w:t>
      </w:r>
      <w:r>
        <w:rPr>
          <w:rFonts w:hint="eastAsia" w:ascii="宋体" w:hAnsi="宋体" w:eastAsia="宋体" w:cs="宋体"/>
          <w:sz w:val="24"/>
          <w:szCs w:val="24"/>
        </w:rPr>
        <w:t>.00</w:t>
      </w:r>
    </w:p>
    <w:p w14:paraId="129B605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采购包最高限价（元）: </w:t>
      </w:r>
      <w:r>
        <w:rPr>
          <w:rFonts w:hint="eastAsia" w:asciiTheme="minorEastAsia" w:hAnsiTheme="minorEastAsia" w:cstheme="minorEastAsia"/>
          <w:b w:val="0"/>
          <w:bCs w:val="0"/>
          <w:color w:val="auto"/>
          <w:sz w:val="24"/>
          <w:szCs w:val="24"/>
          <w:highlight w:val="none"/>
          <w:lang w:val="en-US" w:eastAsia="zh-CN"/>
        </w:rPr>
        <w:t>19810000</w:t>
      </w:r>
      <w:r>
        <w:rPr>
          <w:rFonts w:hint="eastAsia" w:ascii="宋体" w:hAnsi="宋体" w:eastAsia="宋体" w:cs="宋体"/>
          <w:sz w:val="24"/>
          <w:szCs w:val="24"/>
        </w:rPr>
        <w:t>.00</w:t>
      </w:r>
    </w:p>
    <w:p w14:paraId="07B500A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采购包保证金金额（元）:</w:t>
      </w:r>
      <w:r>
        <w:rPr>
          <w:rFonts w:hint="eastAsia" w:ascii="宋体" w:hAnsi="宋体" w:eastAsia="宋体" w:cs="宋体"/>
          <w:sz w:val="24"/>
          <w:szCs w:val="24"/>
          <w:lang w:val="en-US" w:eastAsia="zh-CN"/>
        </w:rPr>
        <w:t>198100</w:t>
      </w:r>
      <w:r>
        <w:rPr>
          <w:rFonts w:hint="eastAsia" w:ascii="宋体" w:hAnsi="宋体" w:eastAsia="宋体" w:cs="宋体"/>
          <w:sz w:val="24"/>
          <w:szCs w:val="24"/>
        </w:rPr>
        <w:t>.00</w:t>
      </w:r>
    </w:p>
    <w:tbl>
      <w:tblPr>
        <w:tblStyle w:val="8"/>
        <w:tblW w:w="4996"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36"/>
        <w:gridCol w:w="2445"/>
        <w:gridCol w:w="719"/>
        <w:gridCol w:w="1800"/>
        <w:gridCol w:w="871"/>
        <w:gridCol w:w="1440"/>
        <w:gridCol w:w="1224"/>
      </w:tblGrid>
      <w:tr w14:paraId="4E5A668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8" w:type="pct"/>
            <w:vAlign w:val="center"/>
          </w:tcPr>
          <w:p w14:paraId="6CC6F3B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323" w:type="pct"/>
            <w:vAlign w:val="center"/>
          </w:tcPr>
          <w:p w14:paraId="570B82D3">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标的名称</w:t>
            </w:r>
          </w:p>
        </w:tc>
        <w:tc>
          <w:tcPr>
            <w:tcW w:w="389" w:type="pct"/>
            <w:vAlign w:val="center"/>
          </w:tcPr>
          <w:p w14:paraId="0A74A0D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数量</w:t>
            </w:r>
          </w:p>
        </w:tc>
        <w:tc>
          <w:tcPr>
            <w:tcW w:w="974" w:type="pct"/>
            <w:vAlign w:val="center"/>
          </w:tcPr>
          <w:p w14:paraId="7528026B">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标的金额 （元）</w:t>
            </w:r>
          </w:p>
        </w:tc>
        <w:tc>
          <w:tcPr>
            <w:tcW w:w="471" w:type="pct"/>
            <w:vAlign w:val="center"/>
          </w:tcPr>
          <w:p w14:paraId="6C0D4C7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计量单位</w:t>
            </w:r>
          </w:p>
        </w:tc>
        <w:tc>
          <w:tcPr>
            <w:tcW w:w="779" w:type="pct"/>
            <w:vAlign w:val="center"/>
          </w:tcPr>
          <w:p w14:paraId="084714C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所属行业</w:t>
            </w:r>
          </w:p>
        </w:tc>
        <w:tc>
          <w:tcPr>
            <w:tcW w:w="662" w:type="pct"/>
            <w:vAlign w:val="center"/>
          </w:tcPr>
          <w:p w14:paraId="2B6DC5E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是否允许进口产品</w:t>
            </w:r>
          </w:p>
        </w:tc>
      </w:tr>
      <w:tr w14:paraId="6F1868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8" w:type="pct"/>
            <w:vAlign w:val="center"/>
          </w:tcPr>
          <w:p w14:paraId="47424836">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323" w:type="pct"/>
            <w:vAlign w:val="center"/>
          </w:tcPr>
          <w:p w14:paraId="0085671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武平县总医院区域检验中心等整体服务采购项目</w:t>
            </w:r>
          </w:p>
        </w:tc>
        <w:tc>
          <w:tcPr>
            <w:tcW w:w="389" w:type="pct"/>
            <w:vAlign w:val="center"/>
          </w:tcPr>
          <w:p w14:paraId="5A1134B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1.00</w:t>
            </w:r>
          </w:p>
        </w:tc>
        <w:tc>
          <w:tcPr>
            <w:tcW w:w="974" w:type="pct"/>
            <w:vAlign w:val="center"/>
          </w:tcPr>
          <w:p w14:paraId="7F656CB3">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rPr>
            </w:pPr>
            <w:r>
              <w:rPr>
                <w:rFonts w:hint="eastAsia" w:asciiTheme="minorEastAsia" w:hAnsiTheme="minorEastAsia" w:cstheme="minorEastAsia"/>
                <w:b w:val="0"/>
                <w:bCs w:val="0"/>
                <w:color w:val="auto"/>
                <w:sz w:val="24"/>
                <w:szCs w:val="24"/>
                <w:highlight w:val="none"/>
                <w:lang w:val="en-US" w:eastAsia="zh-CN"/>
              </w:rPr>
              <w:t>19810000.00</w:t>
            </w:r>
          </w:p>
        </w:tc>
        <w:tc>
          <w:tcPr>
            <w:tcW w:w="471" w:type="pct"/>
            <w:vAlign w:val="center"/>
          </w:tcPr>
          <w:p w14:paraId="2F55358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年</w:t>
            </w:r>
          </w:p>
        </w:tc>
        <w:tc>
          <w:tcPr>
            <w:tcW w:w="779" w:type="pct"/>
            <w:vAlign w:val="center"/>
          </w:tcPr>
          <w:p w14:paraId="22AD4B45">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其他未列明行业</w:t>
            </w:r>
          </w:p>
        </w:tc>
        <w:tc>
          <w:tcPr>
            <w:tcW w:w="662" w:type="pct"/>
            <w:vAlign w:val="center"/>
          </w:tcPr>
          <w:p w14:paraId="44F9AE2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r>
    </w:tbl>
    <w:p w14:paraId="2BF1D65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w:t>
      </w:r>
    </w:p>
    <w:p w14:paraId="35DBD48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（1）报价要求：</w:t>
      </w:r>
    </w:p>
    <w:tbl>
      <w:tblPr>
        <w:tblStyle w:val="8"/>
        <w:tblW w:w="4996"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489"/>
        <w:gridCol w:w="2956"/>
        <w:gridCol w:w="825"/>
        <w:gridCol w:w="870"/>
        <w:gridCol w:w="1559"/>
        <w:gridCol w:w="1260"/>
        <w:gridCol w:w="1275"/>
      </w:tblGrid>
      <w:tr w14:paraId="408D57A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64" w:type="pct"/>
            <w:vAlign w:val="center"/>
          </w:tcPr>
          <w:p w14:paraId="44C781ED">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600" w:type="pct"/>
            <w:vAlign w:val="center"/>
          </w:tcPr>
          <w:p w14:paraId="5C3C626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报价内容</w:t>
            </w:r>
          </w:p>
        </w:tc>
        <w:tc>
          <w:tcPr>
            <w:tcW w:w="446" w:type="pct"/>
            <w:vAlign w:val="center"/>
          </w:tcPr>
          <w:p w14:paraId="2E8A256B">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计量单位</w:t>
            </w:r>
          </w:p>
        </w:tc>
        <w:tc>
          <w:tcPr>
            <w:tcW w:w="471" w:type="pct"/>
            <w:vAlign w:val="center"/>
          </w:tcPr>
          <w:p w14:paraId="1E1ADD2D">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报价单位</w:t>
            </w:r>
          </w:p>
        </w:tc>
        <w:tc>
          <w:tcPr>
            <w:tcW w:w="844" w:type="pct"/>
            <w:vAlign w:val="center"/>
          </w:tcPr>
          <w:p w14:paraId="72D5867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最高限价</w:t>
            </w:r>
          </w:p>
        </w:tc>
        <w:tc>
          <w:tcPr>
            <w:tcW w:w="682" w:type="pct"/>
            <w:vAlign w:val="center"/>
          </w:tcPr>
          <w:p w14:paraId="3CCB4BDF">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价款形式</w:t>
            </w:r>
          </w:p>
        </w:tc>
        <w:tc>
          <w:tcPr>
            <w:tcW w:w="690" w:type="pct"/>
            <w:vAlign w:val="center"/>
          </w:tcPr>
          <w:p w14:paraId="0D3292A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报价说明</w:t>
            </w:r>
          </w:p>
        </w:tc>
      </w:tr>
      <w:tr w14:paraId="1D2C07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64" w:type="pct"/>
            <w:vAlign w:val="center"/>
          </w:tcPr>
          <w:p w14:paraId="077D002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600" w:type="pct"/>
            <w:vAlign w:val="center"/>
          </w:tcPr>
          <w:p w14:paraId="7EC8203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武平县总医院区域检验中心等整体服务采购项目</w:t>
            </w:r>
          </w:p>
        </w:tc>
        <w:tc>
          <w:tcPr>
            <w:tcW w:w="446" w:type="pct"/>
            <w:vAlign w:val="center"/>
          </w:tcPr>
          <w:p w14:paraId="76C3388D">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年</w:t>
            </w:r>
          </w:p>
        </w:tc>
        <w:tc>
          <w:tcPr>
            <w:tcW w:w="471" w:type="pct"/>
            <w:vAlign w:val="center"/>
          </w:tcPr>
          <w:p w14:paraId="038994A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元</w:t>
            </w:r>
          </w:p>
        </w:tc>
        <w:tc>
          <w:tcPr>
            <w:tcW w:w="844" w:type="pct"/>
            <w:vAlign w:val="center"/>
          </w:tcPr>
          <w:p w14:paraId="2CB48C8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Theme="minorEastAsia" w:hAnsiTheme="minorEastAsia" w:cstheme="minorEastAsia"/>
                <w:b w:val="0"/>
                <w:bCs w:val="0"/>
                <w:color w:val="auto"/>
                <w:sz w:val="24"/>
                <w:szCs w:val="24"/>
                <w:highlight w:val="none"/>
                <w:lang w:val="en-US" w:eastAsia="zh-CN"/>
              </w:rPr>
              <w:t>19810000.00</w:t>
            </w:r>
          </w:p>
        </w:tc>
        <w:tc>
          <w:tcPr>
            <w:tcW w:w="682" w:type="pct"/>
            <w:vAlign w:val="center"/>
          </w:tcPr>
          <w:p w14:paraId="1925D94E">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总价</w:t>
            </w:r>
          </w:p>
        </w:tc>
        <w:tc>
          <w:tcPr>
            <w:tcW w:w="690" w:type="pct"/>
            <w:vAlign w:val="center"/>
          </w:tcPr>
          <w:p w14:paraId="1251FD7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无</w:t>
            </w:r>
          </w:p>
        </w:tc>
      </w:tr>
    </w:tbl>
    <w:p w14:paraId="2FBC629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（2）报价明细要求：</w:t>
      </w:r>
    </w:p>
    <w:p w14:paraId="05525A9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武平县总医院区域检验中心等整体服务采购项目</w:t>
      </w:r>
    </w:p>
    <w:tbl>
      <w:tblPr>
        <w:tblStyle w:val="8"/>
        <w:tblW w:w="4996"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56"/>
        <w:gridCol w:w="2090"/>
        <w:gridCol w:w="1964"/>
        <w:gridCol w:w="780"/>
        <w:gridCol w:w="884"/>
        <w:gridCol w:w="1577"/>
        <w:gridCol w:w="719"/>
        <w:gridCol w:w="765"/>
      </w:tblGrid>
      <w:tr w14:paraId="5E437F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46" w:type="pct"/>
          </w:tcPr>
          <w:p w14:paraId="20B5553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131" w:type="pct"/>
            <w:vAlign w:val="center"/>
          </w:tcPr>
          <w:p w14:paraId="53C7677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报价明细内容</w:t>
            </w:r>
          </w:p>
        </w:tc>
        <w:tc>
          <w:tcPr>
            <w:tcW w:w="1063" w:type="pct"/>
            <w:vAlign w:val="center"/>
          </w:tcPr>
          <w:p w14:paraId="2D0DF8F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报价要求</w:t>
            </w:r>
          </w:p>
        </w:tc>
        <w:tc>
          <w:tcPr>
            <w:tcW w:w="422" w:type="pct"/>
            <w:vAlign w:val="center"/>
          </w:tcPr>
          <w:p w14:paraId="4F1B2996">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计量单位</w:t>
            </w:r>
          </w:p>
        </w:tc>
        <w:tc>
          <w:tcPr>
            <w:tcW w:w="478" w:type="pct"/>
            <w:vAlign w:val="center"/>
          </w:tcPr>
          <w:p w14:paraId="64B2A33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报价单位</w:t>
            </w:r>
          </w:p>
        </w:tc>
        <w:tc>
          <w:tcPr>
            <w:tcW w:w="853" w:type="pct"/>
            <w:vAlign w:val="center"/>
          </w:tcPr>
          <w:p w14:paraId="146453D3">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最高限价</w:t>
            </w:r>
          </w:p>
        </w:tc>
        <w:tc>
          <w:tcPr>
            <w:tcW w:w="389" w:type="pct"/>
            <w:vAlign w:val="center"/>
          </w:tcPr>
          <w:p w14:paraId="4791868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价款形式</w:t>
            </w:r>
          </w:p>
        </w:tc>
        <w:tc>
          <w:tcPr>
            <w:tcW w:w="414" w:type="pct"/>
            <w:vAlign w:val="center"/>
          </w:tcPr>
          <w:p w14:paraId="333EEBEF">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报价说明</w:t>
            </w:r>
          </w:p>
        </w:tc>
      </w:tr>
      <w:tr w14:paraId="46992B9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46" w:type="pct"/>
            <w:vAlign w:val="center"/>
          </w:tcPr>
          <w:p w14:paraId="6B97C8C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131" w:type="pct"/>
            <w:vAlign w:val="center"/>
          </w:tcPr>
          <w:p w14:paraId="719FA64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武平县总医院区域检验中心等整体服务采购项目</w:t>
            </w:r>
          </w:p>
        </w:tc>
        <w:tc>
          <w:tcPr>
            <w:tcW w:w="1063" w:type="pct"/>
            <w:vAlign w:val="center"/>
          </w:tcPr>
          <w:p w14:paraId="558773F3">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武平县总医院区域检验中心等整体服务采购项目</w:t>
            </w:r>
          </w:p>
        </w:tc>
        <w:tc>
          <w:tcPr>
            <w:tcW w:w="422" w:type="pct"/>
            <w:vAlign w:val="center"/>
          </w:tcPr>
          <w:p w14:paraId="1F1FBA3B">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年</w:t>
            </w:r>
          </w:p>
        </w:tc>
        <w:tc>
          <w:tcPr>
            <w:tcW w:w="478" w:type="pct"/>
            <w:vAlign w:val="center"/>
          </w:tcPr>
          <w:p w14:paraId="2B4DFA8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元</w:t>
            </w:r>
          </w:p>
        </w:tc>
        <w:tc>
          <w:tcPr>
            <w:tcW w:w="853" w:type="pct"/>
            <w:vAlign w:val="center"/>
          </w:tcPr>
          <w:p w14:paraId="0FF8692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Theme="minorEastAsia" w:hAnsiTheme="minorEastAsia" w:cstheme="minorEastAsia"/>
                <w:b w:val="0"/>
                <w:bCs w:val="0"/>
                <w:color w:val="auto"/>
                <w:sz w:val="24"/>
                <w:szCs w:val="24"/>
                <w:highlight w:val="none"/>
                <w:lang w:val="en-US" w:eastAsia="zh-CN"/>
              </w:rPr>
              <w:t>19810000.00</w:t>
            </w:r>
          </w:p>
        </w:tc>
        <w:tc>
          <w:tcPr>
            <w:tcW w:w="389" w:type="pct"/>
            <w:vAlign w:val="center"/>
          </w:tcPr>
          <w:p w14:paraId="5349A597">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总价</w:t>
            </w:r>
          </w:p>
        </w:tc>
        <w:tc>
          <w:tcPr>
            <w:tcW w:w="414" w:type="pct"/>
            <w:vAlign w:val="center"/>
          </w:tcPr>
          <w:p w14:paraId="697F348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无</w:t>
            </w:r>
          </w:p>
        </w:tc>
      </w:tr>
    </w:tbl>
    <w:p w14:paraId="4F40B0EA">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46C30A8D">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32"/>
          <w:szCs w:val="32"/>
        </w:rPr>
      </w:pPr>
      <w:r>
        <w:rPr>
          <w:rFonts w:hint="eastAsia" w:ascii="宋体" w:hAnsi="宋体" w:eastAsia="宋体" w:cs="宋体"/>
          <w:b/>
          <w:sz w:val="32"/>
          <w:szCs w:val="32"/>
        </w:rPr>
        <w:t>第二章 投标人须知前附表</w:t>
      </w:r>
    </w:p>
    <w:p w14:paraId="253A2E5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一、投标人须知前附表1</w:t>
      </w:r>
    </w:p>
    <w:tbl>
      <w:tblPr>
        <w:tblStyle w:val="8"/>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58"/>
        <w:gridCol w:w="1427"/>
        <w:gridCol w:w="7057"/>
      </w:tblGrid>
      <w:tr w14:paraId="5E0B2F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gridSpan w:val="3"/>
          </w:tcPr>
          <w:p w14:paraId="7AD6AAE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特别提示：本表与招标文件对应章节的内容若不一致，以本表为准。</w:t>
            </w:r>
          </w:p>
        </w:tc>
      </w:tr>
      <w:tr w14:paraId="709517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vAlign w:val="center"/>
          </w:tcPr>
          <w:p w14:paraId="52A0F20E">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772" w:type="pct"/>
            <w:vAlign w:val="center"/>
          </w:tcPr>
          <w:p w14:paraId="3247F0E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招标文件</w:t>
            </w:r>
          </w:p>
          <w:p w14:paraId="1B4764A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（第三章）</w:t>
            </w:r>
          </w:p>
        </w:tc>
        <w:tc>
          <w:tcPr>
            <w:tcW w:w="3817" w:type="pct"/>
            <w:vAlign w:val="center"/>
          </w:tcPr>
          <w:p w14:paraId="6163784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编列内容</w:t>
            </w:r>
          </w:p>
        </w:tc>
      </w:tr>
      <w:tr w14:paraId="624FED4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410CA9B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772" w:type="pct"/>
          </w:tcPr>
          <w:p w14:paraId="02E9E29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6.1</w:t>
            </w:r>
          </w:p>
        </w:tc>
        <w:tc>
          <w:tcPr>
            <w:tcW w:w="3817" w:type="pct"/>
          </w:tcPr>
          <w:p w14:paraId="61F48D2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是否组织现场考察或召开开标前答疑会：</w:t>
            </w:r>
          </w:p>
          <w:p w14:paraId="14DD8D9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采购包1：不组织</w:t>
            </w:r>
          </w:p>
        </w:tc>
      </w:tr>
      <w:tr w14:paraId="44CCC80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2495115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772" w:type="pct"/>
          </w:tcPr>
          <w:p w14:paraId="699F558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10.4</w:t>
            </w:r>
          </w:p>
        </w:tc>
        <w:tc>
          <w:tcPr>
            <w:tcW w:w="3817" w:type="pct"/>
          </w:tcPr>
          <w:p w14:paraId="3F2391F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投标文件的份数：</w:t>
            </w:r>
          </w:p>
          <w:p w14:paraId="725169C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（1）可读介质（光盘或U盘） 0 份：投标人应将其上传至福建省政府采购网上公开信息系统的电子投标文件在该可读介质中另存 0 份。</w:t>
            </w:r>
          </w:p>
          <w:p w14:paraId="1601938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（2）电子投标文件：详见投标人须知前附表2《关于电子招标投标活动的专门规定》。</w:t>
            </w:r>
          </w:p>
        </w:tc>
      </w:tr>
      <w:tr w14:paraId="2E504A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097069C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772" w:type="pct"/>
          </w:tcPr>
          <w:p w14:paraId="7CBA846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10.7-（1）</w:t>
            </w:r>
          </w:p>
        </w:tc>
        <w:tc>
          <w:tcPr>
            <w:tcW w:w="3817" w:type="pct"/>
          </w:tcPr>
          <w:p w14:paraId="321BE49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是否允许中标人将本项目的非主体、非关键性工作进行分包：</w:t>
            </w:r>
          </w:p>
          <w:p w14:paraId="699DA8C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yellow"/>
                <w:lang w:val="en-US" w:eastAsia="zh-CN"/>
              </w:rPr>
            </w:pPr>
            <w:r>
              <w:rPr>
                <w:rFonts w:hint="eastAsia" w:ascii="宋体" w:hAnsi="宋体" w:eastAsia="宋体" w:cs="宋体"/>
                <w:color w:val="auto"/>
                <w:sz w:val="24"/>
                <w:szCs w:val="24"/>
                <w:highlight w:val="none"/>
              </w:rPr>
              <w:t>采购包1：分包比例</w:t>
            </w:r>
            <w:r>
              <w:rPr>
                <w:rFonts w:hint="eastAsia" w:ascii="宋体" w:hAnsi="宋体" w:eastAsia="宋体" w:cs="宋体"/>
                <w:color w:val="auto"/>
                <w:sz w:val="24"/>
                <w:szCs w:val="24"/>
                <w:highlight w:val="none"/>
                <w:lang w:val="en-US" w:eastAsia="zh-CN"/>
              </w:rPr>
              <w:t>50</w:t>
            </w:r>
            <w:r>
              <w:rPr>
                <w:rFonts w:hint="eastAsia" w:ascii="宋体" w:hAnsi="宋体" w:eastAsia="宋体" w:cs="宋体"/>
                <w:color w:val="auto"/>
                <w:sz w:val="24"/>
                <w:szCs w:val="24"/>
                <w:highlight w:val="none"/>
              </w:rPr>
              <w:t>%，分包履行的内容：允许中标人将本项目的非主体、非关键性工作结合自身实际情况合理分包，且分包供应商须具备开展相应工作</w:t>
            </w:r>
            <w:r>
              <w:rPr>
                <w:rFonts w:hint="eastAsia" w:ascii="宋体" w:hAnsi="宋体" w:eastAsia="宋体" w:cs="宋体"/>
                <w:color w:val="auto"/>
                <w:sz w:val="24"/>
                <w:szCs w:val="24"/>
                <w:highlight w:val="none"/>
                <w:lang w:val="en-US" w:eastAsia="zh-CN"/>
              </w:rPr>
              <w:t>资质。</w:t>
            </w:r>
          </w:p>
        </w:tc>
      </w:tr>
      <w:tr w14:paraId="1ACBE1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1B58858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772" w:type="pct"/>
          </w:tcPr>
          <w:p w14:paraId="1DB76F0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10.8-（1）</w:t>
            </w:r>
          </w:p>
        </w:tc>
        <w:tc>
          <w:tcPr>
            <w:tcW w:w="3817" w:type="pct"/>
          </w:tcPr>
          <w:p w14:paraId="31CD7ED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投标有效期：投标截止时间起 90 个日历日。</w:t>
            </w:r>
          </w:p>
        </w:tc>
      </w:tr>
      <w:tr w14:paraId="0118C2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2B385C2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772" w:type="pct"/>
          </w:tcPr>
          <w:p w14:paraId="6BCB066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12.1</w:t>
            </w:r>
          </w:p>
        </w:tc>
        <w:tc>
          <w:tcPr>
            <w:tcW w:w="3817" w:type="pct"/>
          </w:tcPr>
          <w:p w14:paraId="34FE718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确定中标候选人名单：采购包1：1名</w:t>
            </w:r>
          </w:p>
        </w:tc>
      </w:tr>
      <w:tr w14:paraId="11C4FDF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0AF056C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772" w:type="pct"/>
          </w:tcPr>
          <w:p w14:paraId="587E2AD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12.2</w:t>
            </w:r>
          </w:p>
        </w:tc>
        <w:tc>
          <w:tcPr>
            <w:tcW w:w="3817" w:type="pct"/>
          </w:tcPr>
          <w:p w14:paraId="33594B7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本项目中标人的确定（以采购包为单位）：</w:t>
            </w:r>
          </w:p>
          <w:p w14:paraId="74CFC27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 采购人应在政府采购招投标管理办法规定的时限内确定中标人。</w:t>
            </w:r>
          </w:p>
          <w:p w14:paraId="41EFF9D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（2）若出现中标候选人并列情形，则按照下列方式确定中标人：</w:t>
            </w:r>
          </w:p>
          <w:p w14:paraId="33D7DB1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①招标文件规定的方式：</w:t>
            </w:r>
          </w:p>
          <w:p w14:paraId="5893F07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投标人评标总得分（FA）且评标价（即价格扣除后的投标报价）相同的并列，则按技术项的得分从高到低排序推荐中标候选人；若以上全部相同则采取随机抽取方式确定。</w:t>
            </w:r>
          </w:p>
          <w:p w14:paraId="5B026ED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②若本款第①点规定方式为“无”，则按照下列方式确定：无。</w:t>
            </w:r>
          </w:p>
          <w:p w14:paraId="2C44642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③若本款第①、②点规定方式均为“无”，则按照下列方式确定：随机抽取。</w:t>
            </w:r>
          </w:p>
          <w:p w14:paraId="38730A7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（3）本项目确定的中标人家数：采购包1：1名</w:t>
            </w:r>
          </w:p>
        </w:tc>
      </w:tr>
      <w:tr w14:paraId="6C6A22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6B26D0E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772" w:type="pct"/>
          </w:tcPr>
          <w:p w14:paraId="2B2C32F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13.2</w:t>
            </w:r>
          </w:p>
        </w:tc>
        <w:tc>
          <w:tcPr>
            <w:tcW w:w="3817" w:type="pct"/>
          </w:tcPr>
          <w:p w14:paraId="4A2F83F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合同签订时限：自中标通知书发出之日起30个日历日内。</w:t>
            </w:r>
          </w:p>
        </w:tc>
      </w:tr>
      <w:tr w14:paraId="0D6826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712B093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w:t>
            </w:r>
          </w:p>
        </w:tc>
        <w:tc>
          <w:tcPr>
            <w:tcW w:w="772" w:type="pct"/>
          </w:tcPr>
          <w:p w14:paraId="0E4CCB7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15.1-（2）</w:t>
            </w:r>
          </w:p>
        </w:tc>
        <w:tc>
          <w:tcPr>
            <w:tcW w:w="3817" w:type="pct"/>
          </w:tcPr>
          <w:p w14:paraId="799A3BF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质疑函原件应采用下列方式提交：书面形式。</w:t>
            </w:r>
          </w:p>
        </w:tc>
      </w:tr>
      <w:tr w14:paraId="1417F30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5DE2775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9</w:t>
            </w:r>
          </w:p>
        </w:tc>
        <w:tc>
          <w:tcPr>
            <w:tcW w:w="772" w:type="pct"/>
          </w:tcPr>
          <w:p w14:paraId="685AE2C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15.4</w:t>
            </w:r>
          </w:p>
        </w:tc>
        <w:tc>
          <w:tcPr>
            <w:tcW w:w="3817" w:type="pct"/>
          </w:tcPr>
          <w:p w14:paraId="0F7BAEB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招标文件的质疑</w:t>
            </w:r>
          </w:p>
          <w:p w14:paraId="6CE13B0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（1）潜在投标人可在质疑时效期间内对招标文件以书面形式提出质疑。</w:t>
            </w:r>
          </w:p>
          <w:p w14:paraId="48B44B5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（2）质疑时效期间：应在依法获取招标文件之日起7个工作日内向 福建榕卫招标有限公司 提出，依法获取招标文件的时间以福建省政府采购网上公开信息系统记载的为准。</w:t>
            </w:r>
          </w:p>
          <w:p w14:paraId="3DE919F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※除上述规定外，对招标文件提出的质疑还应符合招标文件第三章第15.1条的有关规定。</w:t>
            </w:r>
          </w:p>
        </w:tc>
      </w:tr>
      <w:tr w14:paraId="4C6D70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0C734D7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10</w:t>
            </w:r>
          </w:p>
        </w:tc>
        <w:tc>
          <w:tcPr>
            <w:tcW w:w="772" w:type="pct"/>
          </w:tcPr>
          <w:p w14:paraId="3F1DE64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16.1</w:t>
            </w:r>
          </w:p>
        </w:tc>
        <w:tc>
          <w:tcPr>
            <w:tcW w:w="3817" w:type="pct"/>
          </w:tcPr>
          <w:p w14:paraId="28E1898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监督管理部门： </w:t>
            </w:r>
            <w:r>
              <w:rPr>
                <w:rFonts w:hint="eastAsia" w:ascii="宋体" w:hAnsi="宋体" w:eastAsia="宋体" w:cs="宋体"/>
                <w:sz w:val="24"/>
                <w:szCs w:val="24"/>
                <w:lang w:val="en-US" w:eastAsia="zh-CN"/>
              </w:rPr>
              <w:t>武平县</w:t>
            </w:r>
            <w:r>
              <w:rPr>
                <w:rFonts w:hint="eastAsia" w:ascii="宋体" w:hAnsi="宋体" w:eastAsia="宋体" w:cs="宋体"/>
                <w:sz w:val="24"/>
                <w:szCs w:val="24"/>
              </w:rPr>
              <w:t>政府采购监督管理办公室 （仅限依法进行政府采购的货物或服务类项目）。</w:t>
            </w:r>
          </w:p>
        </w:tc>
      </w:tr>
      <w:tr w14:paraId="634D2B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119F856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11</w:t>
            </w:r>
          </w:p>
        </w:tc>
        <w:tc>
          <w:tcPr>
            <w:tcW w:w="772" w:type="pct"/>
          </w:tcPr>
          <w:p w14:paraId="610EDCF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18.1</w:t>
            </w:r>
          </w:p>
        </w:tc>
        <w:tc>
          <w:tcPr>
            <w:tcW w:w="3817" w:type="pct"/>
          </w:tcPr>
          <w:p w14:paraId="58568D1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财政部和福建省财政厅指定的政府采购信息发布媒体（以下简称：“指定媒体”）：</w:t>
            </w:r>
          </w:p>
          <w:p w14:paraId="195B3CE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（1）中国政府采购网，网址www.ccgp.gov.cn。</w:t>
            </w:r>
          </w:p>
          <w:p w14:paraId="7262D16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（2）中国政府采购网福建分网（福建省政府采购网），网址zfcg.czt.fujian.gov.cn。</w:t>
            </w:r>
          </w:p>
          <w:p w14:paraId="09A012B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※若出现上述指定媒体信息不一致情形，应以中国政府采购网福建分网（福建省政府采购网）发布的为准。</w:t>
            </w:r>
          </w:p>
        </w:tc>
      </w:tr>
      <w:tr w14:paraId="53AF333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0" w:type="pct"/>
          </w:tcPr>
          <w:p w14:paraId="1DFEE28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12</w:t>
            </w:r>
          </w:p>
        </w:tc>
        <w:tc>
          <w:tcPr>
            <w:tcW w:w="772" w:type="pct"/>
          </w:tcPr>
          <w:p w14:paraId="65D864B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19</w:t>
            </w:r>
          </w:p>
        </w:tc>
        <w:tc>
          <w:tcPr>
            <w:tcW w:w="3817" w:type="pct"/>
          </w:tcPr>
          <w:p w14:paraId="54CE3E3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其他事项：</w:t>
            </w:r>
          </w:p>
          <w:p w14:paraId="23A5F15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(1)本项目代理服务费：</w:t>
            </w:r>
          </w:p>
          <w:p w14:paraId="4317BA8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本项目收取代理服务费</w:t>
            </w:r>
          </w:p>
          <w:p w14:paraId="0C48998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代理服务费用收取对象：中标/成交供应商</w:t>
            </w:r>
          </w:p>
          <w:p w14:paraId="04C785C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rPr>
              <w:t>代理服务费收费标准：</w:t>
            </w:r>
            <w:r>
              <w:rPr>
                <w:rFonts w:hint="eastAsia" w:asciiTheme="minorEastAsia" w:hAnsiTheme="minorEastAsia" w:eastAsiaTheme="minorEastAsia" w:cstheme="minorEastAsia"/>
                <w:b/>
                <w:sz w:val="24"/>
                <w:szCs w:val="24"/>
              </w:rPr>
              <w:t>本项目为一签多年项目，采购代理服务费收费标准以成交总金额（</w:t>
            </w:r>
            <w:r>
              <w:rPr>
                <w:rFonts w:hint="eastAsia" w:asciiTheme="minorEastAsia" w:hAnsiTheme="minorEastAsia" w:cstheme="minorEastAsia"/>
                <w:b/>
                <w:sz w:val="24"/>
                <w:szCs w:val="24"/>
                <w:lang w:val="en-US" w:eastAsia="zh-CN"/>
              </w:rPr>
              <w:t>预算</w:t>
            </w:r>
            <w:r>
              <w:rPr>
                <w:rFonts w:hint="eastAsia" w:asciiTheme="minorEastAsia" w:hAnsiTheme="minorEastAsia" w:eastAsiaTheme="minorEastAsia" w:cstheme="minorEastAsia"/>
                <w:b/>
                <w:sz w:val="24"/>
                <w:szCs w:val="24"/>
              </w:rPr>
              <w:t>金额×3年）为基数按差额定率累进法计算</w:t>
            </w:r>
            <w:r>
              <w:rPr>
                <w:rFonts w:hint="eastAsia" w:asciiTheme="minorEastAsia" w:hAnsiTheme="minorEastAsia" w:cstheme="minorEastAsia"/>
                <w:b/>
                <w:sz w:val="24"/>
                <w:szCs w:val="24"/>
                <w:lang w:eastAsia="zh-CN"/>
              </w:rPr>
              <w:t>；</w:t>
            </w:r>
            <w:r>
              <w:rPr>
                <w:rFonts w:hint="eastAsia" w:ascii="宋体" w:hAnsi="宋体" w:eastAsia="宋体" w:cs="宋体"/>
                <w:sz w:val="24"/>
                <w:szCs w:val="24"/>
              </w:rPr>
              <w:t>成交金额（万元）100以下服务费比率 1.5</w:t>
            </w:r>
            <w:r>
              <w:rPr>
                <w:rFonts w:hint="eastAsia" w:ascii="宋体" w:hAnsi="宋体" w:eastAsia="宋体" w:cs="宋体"/>
                <w:sz w:val="24"/>
                <w:szCs w:val="24"/>
                <w:lang w:val="en-US" w:eastAsia="zh-CN"/>
              </w:rPr>
              <w:t>%</w:t>
            </w:r>
            <w:r>
              <w:rPr>
                <w:rFonts w:hint="eastAsia" w:ascii="宋体" w:hAnsi="宋体" w:eastAsia="宋体" w:cs="宋体"/>
                <w:sz w:val="24"/>
                <w:szCs w:val="24"/>
              </w:rPr>
              <w:t>、成交金额（万元）100—500 服务费比率0.8</w:t>
            </w:r>
            <w:r>
              <w:rPr>
                <w:rFonts w:hint="eastAsia" w:ascii="宋体" w:hAnsi="宋体" w:eastAsia="宋体" w:cs="宋体"/>
                <w:sz w:val="24"/>
                <w:szCs w:val="24"/>
                <w:lang w:val="en-US" w:eastAsia="zh-CN"/>
              </w:rPr>
              <w:t>%</w:t>
            </w:r>
            <w:r>
              <w:rPr>
                <w:rFonts w:hint="eastAsia" w:ascii="宋体" w:hAnsi="宋体" w:eastAsia="宋体" w:cs="宋体"/>
                <w:sz w:val="24"/>
                <w:szCs w:val="24"/>
              </w:rPr>
              <w:t>、成交金额（万元）500—1000服务</w:t>
            </w:r>
            <w:r>
              <w:rPr>
                <w:rFonts w:hint="eastAsia" w:ascii="宋体" w:hAnsi="宋体" w:eastAsia="宋体" w:cs="宋体"/>
                <w:sz w:val="24"/>
                <w:szCs w:val="24"/>
                <w:highlight w:val="none"/>
              </w:rPr>
              <w:t>费比率0.45</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、成交金额（万元）1000</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5000服务费比率0.25</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，成交金额（万元）</w:t>
            </w:r>
            <w:r>
              <w:rPr>
                <w:rFonts w:hint="eastAsia" w:ascii="宋体" w:hAnsi="宋体" w:eastAsia="宋体" w:cs="宋体"/>
                <w:sz w:val="24"/>
                <w:szCs w:val="24"/>
                <w:highlight w:val="none"/>
                <w:lang w:val="en-US" w:eastAsia="zh-CN"/>
              </w:rPr>
              <w:t>5000</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rPr>
              <w:t>000服务费比率0.</w:t>
            </w:r>
            <w:r>
              <w:rPr>
                <w:rFonts w:hint="eastAsia" w:ascii="宋体" w:hAnsi="宋体" w:eastAsia="宋体" w:cs="宋体"/>
                <w:sz w:val="24"/>
                <w:szCs w:val="24"/>
                <w:highlight w:val="none"/>
                <w:lang w:val="en-US" w:eastAsia="zh-CN"/>
              </w:rPr>
              <w:t>1%标准收取</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中标人须在领取中标通知书前以转账、支票、现金等付款方式一次性付清； （公司账户：开户银行：福建海峡银行股份有限公司福州鼓楼支行；开户名称：福建榕卫招标有限公司；账 号：100028500520010001）邮箱：rwzbly@163.com。</w:t>
            </w:r>
          </w:p>
          <w:p w14:paraId="6B0E66D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 (2)其他：</w:t>
            </w:r>
          </w:p>
          <w:p w14:paraId="0F9FA67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未实质性响应招标文件条款（“投标无效”条款）：①投标有效期不符合投标人须知前附表1第4项号的规定；②出现第二章投标人须知前附表1第12项号中规定的“投标无效”的情形；③出现第二章投标人须知前附表2规定的“投标无效”的情形；④出现第三章投标人须知第9、10.6、10.8、10.9、10.12条款中规定的“投标无效”的情形；⑤出现第四章“一、资格审查”与“二、评标”中规定的“投标无效”的情形（或资格及符合性审查不合格的情形）；⑥出现第五章招标内容及要求中规定的“投标无效”的情形或“★”标示的内容为负偏离的的情形；⑦出现第七章投标文件格式中规定的“投标无效”的情形（或资格及符合性审查不合格的情形）。2）在招标文件中，一般资格证明文件“序号3 提供财务状况报告(财务报告、或资信证明）”的规定：“a.成立年限满1年及以上的投标人，提供经审计的上一年度的年度财务报告。”，“上一年度”是指2024年度。3）质疑受理的其它要求：质疑人递交质疑函时还应出具质疑人已在福建省政府采购网上公开信息系统上依法获取招标文件的证明文件（体现依法获取招标文件的时间），否则不予受理。在法定质疑期内质疑人须一次性提出针对同一采购程序环节的质疑，二（多）次质疑不予受理。</w:t>
            </w:r>
          </w:p>
        </w:tc>
      </w:tr>
      <w:tr w14:paraId="2343AF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2" w:type="pct"/>
            <w:gridSpan w:val="2"/>
          </w:tcPr>
          <w:p w14:paraId="6D26945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备注</w:t>
            </w:r>
          </w:p>
        </w:tc>
        <w:tc>
          <w:tcPr>
            <w:tcW w:w="3817" w:type="pct"/>
          </w:tcPr>
          <w:p w14:paraId="2429499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后有投标人须知前附表2，请勿遗漏。</w:t>
            </w:r>
          </w:p>
        </w:tc>
      </w:tr>
    </w:tbl>
    <w:p w14:paraId="3185EFF5">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二、投标人须知前附表2</w:t>
      </w:r>
    </w:p>
    <w:tbl>
      <w:tblPr>
        <w:tblStyle w:val="8"/>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09"/>
        <w:gridCol w:w="8333"/>
      </w:tblGrid>
      <w:tr w14:paraId="68AB81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gridSpan w:val="2"/>
          </w:tcPr>
          <w:p w14:paraId="602BC35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关于电子招标投标活动的专门规定</w:t>
            </w:r>
          </w:p>
        </w:tc>
      </w:tr>
      <w:tr w14:paraId="19121E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92" w:type="pct"/>
          </w:tcPr>
          <w:p w14:paraId="3C8E7537">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4507" w:type="pct"/>
          </w:tcPr>
          <w:p w14:paraId="6CF04BB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编列内容</w:t>
            </w:r>
          </w:p>
        </w:tc>
      </w:tr>
      <w:tr w14:paraId="325F42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92" w:type="pct"/>
          </w:tcPr>
          <w:p w14:paraId="2260668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4507" w:type="pct"/>
          </w:tcPr>
          <w:p w14:paraId="299674D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（1）电子招标投标活动的专门规定适用本项目电子招标投标活动。</w:t>
            </w:r>
          </w:p>
          <w:p w14:paraId="164B9B0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（2）将招标文件</w:t>
            </w:r>
          </w:p>
          <w:p w14:paraId="51A5A50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的内容修正为下列内容：</w:t>
            </w:r>
          </w:p>
          <w:p w14:paraId="3EDD363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后适用本项目的电子招标投标活动。</w:t>
            </w:r>
          </w:p>
          <w:p w14:paraId="446B858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（3）将下列内容增列为招标文件的组成部分（以下简称：“增列内容”）适用本项目的电子招标投标活动，若增列内容与招标文件其他章节内容有冲突，应以增列内容为准：</w:t>
            </w:r>
          </w:p>
          <w:p w14:paraId="647CEF3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①电子招标投标活动的具体操作流程以福建省政府采购网上公开信息系统设定的为准。</w:t>
            </w:r>
          </w:p>
          <w:p w14:paraId="749A0CB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②关于电子投标文件：</w:t>
            </w:r>
          </w:p>
          <w:p w14:paraId="0917DB8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a.投标人应按照福建省政府采购网上公开信息系统设定的评审节点编制电子投标文件，否则资格审查小组、评标委员会将按照不利于投标人的内容进行认定。</w:t>
            </w:r>
          </w:p>
          <w:p w14:paraId="353FD5B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投标人应在投标截止时间前按照福建省政府采购网上公开信息系统设定的操作流程将电子投标文件1份上传至福建省政府采购网上公开信息系统。电子投标文件的投标（响应）报价明细表、投标客户端的投标（响应）报价明细表应保持一致，并以投标客户端的投标（响应）报价明细表为准。</w:t>
            </w:r>
          </w:p>
          <w:p w14:paraId="248F43F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③关于证明材料或资料：</w:t>
            </w:r>
          </w:p>
          <w:p w14:paraId="7AD35F6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a.招标文件要求原件的，投标人在电子投标文件中可提供复印件（含扫描件），但同时应准备好原件备查（未能在规定时间内提供原件核查的，将按不利于投标人进行评审）；招标文件要求复印件的，投标人在电子投标文件中提供原件、复印件（含扫描件）皆可；招标文件对原件、复印件未作要求的，投标人在电子投标文件中提供原件、复印件（含扫描件）皆可。</w:t>
            </w:r>
          </w:p>
          <w:p w14:paraId="314E255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b.若投标人提供注明“复印件无效”或“复印无效”的证明材料或资料，应结合上文a条款进行判定，若招标文件未要求投标人提供原件，投标人提供原件，复印件（含扫描件）均视为满足招标文件要求。</w:t>
            </w:r>
          </w:p>
          <w:p w14:paraId="3889149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④关于“全称”、“投标人代表签字”及“加盖单位公章”：</w:t>
            </w:r>
          </w:p>
          <w:p w14:paraId="1425CDF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a.在电子投标文件中，涉及“全称”和“投标人代表签字”的内容可使用打字录入方式完成。</w:t>
            </w:r>
          </w:p>
          <w:p w14:paraId="665769C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b.在电子投标文件中，涉及“加盖单位公章”的内容应使用投标人的CA证书完成，否则投标无效。</w:t>
            </w:r>
          </w:p>
          <w:p w14:paraId="11E19E3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c.在电子投标文件中，若投标人按照本增列内容第④点第b项规定加盖其单位公章，则出现无全称、或投标人代表未签字等情形，不视为投标无效。</w:t>
            </w:r>
          </w:p>
          <w:p w14:paraId="11ED56F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⑤关于投标人的CA证书：</w:t>
            </w:r>
          </w:p>
          <w:p w14:paraId="2DBDAA1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a.投标人的CA证书应在系统规定时间内使用CA证书进行电子投标文件的解密操作，逾期未解密的视为放弃投标。</w:t>
            </w:r>
          </w:p>
          <w:p w14:paraId="1266D7C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b.投标人的CA证书可采用信封（包括但不限于：信封、档案袋、文件袋等）作为外包装进行单独包装。外包装密封、不密封皆可。</w:t>
            </w:r>
          </w:p>
          <w:p w14:paraId="0F5C6A2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c.投标人的CA证书或外包装应标记“项目名称、项目编号、投标人的全称”等内容，以方便识别、使用。</w:t>
            </w:r>
          </w:p>
          <w:p w14:paraId="7BC59BF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d.投标人的CA证书应能正常、有效使用，否则产生不利后果由投标人承担责任。</w:t>
            </w:r>
          </w:p>
          <w:p w14:paraId="6721714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⑥关于投标截止时间过后</w:t>
            </w:r>
          </w:p>
          <w:p w14:paraId="71560E6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a.未按招标文件规定提交投标保证金的，其投标将按无效投标处理。</w:t>
            </w:r>
          </w:p>
          <w:p w14:paraId="11CA731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b.有下列情形之一的，其投标无效,其保证金不予退还或通过投标保函进行索赔：</w:t>
            </w:r>
          </w:p>
          <w:p w14:paraId="3C86BC2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b1不同投标人的电子投标文件具有相同内部识别码；</w:t>
            </w:r>
          </w:p>
          <w:p w14:paraId="3313FD0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b2不同投标人的投标保证金从同一单位或个人的账户转出；</w:t>
            </w:r>
          </w:p>
          <w:p w14:paraId="265B301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b3投标人的投标保证金同一采购包下有其他投标人提交的投标保证金；</w:t>
            </w:r>
          </w:p>
          <w:p w14:paraId="3DA43AE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b4不同投标人存在串通投标的其他情形。</w:t>
            </w:r>
          </w:p>
          <w:p w14:paraId="1DA845C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⑦接受联合体投标且投标人为联合体的，投标人应由“联合体牵头方”完成福建省政府采购网上公开信息系统设定的具体操作流程（包括但不限于：招标文件获取、提交投标保证金、编制电子投标文件等）。</w:t>
            </w:r>
          </w:p>
          <w:p w14:paraId="3466697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⑧其他：</w:t>
            </w:r>
          </w:p>
          <w:p w14:paraId="3293BA7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关于投标人串通投标情形条款详见《关于福建省财政厅关于电子化政府采购项目中视为串标情形认定与处理的指导意见》闽财购〔2018〕30 号文件规定。</w:t>
            </w:r>
          </w:p>
        </w:tc>
      </w:tr>
    </w:tbl>
    <w:p w14:paraId="13266DFA">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05711215">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32"/>
          <w:szCs w:val="32"/>
        </w:rPr>
      </w:pPr>
      <w:r>
        <w:rPr>
          <w:rFonts w:hint="eastAsia" w:ascii="宋体" w:hAnsi="宋体" w:eastAsia="宋体" w:cs="宋体"/>
          <w:b/>
          <w:sz w:val="32"/>
          <w:szCs w:val="32"/>
        </w:rPr>
        <w:t>第三章 投标人须知</w:t>
      </w:r>
    </w:p>
    <w:p w14:paraId="3970004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一、总则</w:t>
      </w:r>
    </w:p>
    <w:p w14:paraId="0F23BA5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1、适用范围</w:t>
      </w:r>
    </w:p>
    <w:p w14:paraId="65700D7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1.1适用于招标文件载明项目的政府采购活动（以下简称：“本次采购活动”）。</w:t>
      </w:r>
    </w:p>
    <w:p w14:paraId="51B4A33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2、定义</w:t>
      </w:r>
    </w:p>
    <w:p w14:paraId="0EE528E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2.1“采购标的”指招标文件载明的需要采购的货物或服务。</w:t>
      </w:r>
    </w:p>
    <w:p w14:paraId="2F9D4FD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2.2“潜在投标人”指按照招标文件第一章第7条规定获取招标文件且有意向参加本项目投标的供应商。</w:t>
      </w:r>
    </w:p>
    <w:p w14:paraId="2884EE0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2.3“投标人”指按照招标文件第一章第7条规定获取招标文件并参加本项目投标的供应商。</w:t>
      </w:r>
    </w:p>
    <w:p w14:paraId="62AF4D5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2.4“单位负责人”指单位法定代表人或法律、法规规定代表单位行使职权的主要负责人。</w:t>
      </w:r>
    </w:p>
    <w:p w14:paraId="62B57C3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2.5“投标人代表”指投标人的单位负责人或“单位负责人授权书”中载明的接受授权方。</w:t>
      </w:r>
    </w:p>
    <w:p w14:paraId="02BD73F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二、投标人</w:t>
      </w:r>
    </w:p>
    <w:p w14:paraId="7D82DD5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3、合格投标人</w:t>
      </w:r>
    </w:p>
    <w:p w14:paraId="35CF208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3.1一般规定</w:t>
      </w:r>
    </w:p>
    <w:p w14:paraId="2A800D0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投标人应遵守政府采购法及实施条例、政府采购招投标管理办法、政府采购质疑和投诉办法及财政部、福建省财政厅有关政府采购文件的规定，同时还应遵守《中华人民共和国劳动合同法》有关规定和《中华人民共和国妇女权益保障法》中关于“劳动和社会保障权益”的有关要求以及其他有关法律、法规和规章的强制性规定。</w:t>
      </w:r>
    </w:p>
    <w:p w14:paraId="2E67CA4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投标人对提供福建省政府采购供应商资格承诺函及所承诺事项的真实性、合法性及有效性负责，并已知晓所提供资格承诺函内容不实的，可能涉嫌《中华人民共和国政府采购法》第七十七条第一款第(一)项规定的“提供虚假材料谋取中标成交”违法情形。经调查属实的，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4FEE635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（2）投标人的资格要求：详见招标文件第一章。</w:t>
      </w:r>
    </w:p>
    <w:p w14:paraId="59C3D9D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3.2若本项目接受联合体投标且投标人为联合体，则联合体各方应遵守本章第3.1条规定，同时还应遵守下列规定：</w:t>
      </w:r>
    </w:p>
    <w:p w14:paraId="6C3E489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（1）联合体各方应提交联合体协议，联合体协议应符合招标文件规定。</w:t>
      </w:r>
    </w:p>
    <w:p w14:paraId="43AF64C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（2）联合体各方不得再单独参加或与其他供应商另外组成联合体参加同一合同项下的投标。</w:t>
      </w:r>
    </w:p>
    <w:p w14:paraId="463DF34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（3）联合体各方应共同与采购人签订政府采购合同，就政府采购合同约定的事项对采购人承担连带责任。</w:t>
      </w:r>
    </w:p>
    <w:p w14:paraId="5F12604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项目如涉及资质要求，该部分工作内容应由联合体中符合该资质要求的供应商承担，联合体协议及签订的采购合同应符合这一要求；联合体中有同类资质的供应商按照联合体分工承担相同工作的，应当按照资质等级较低的供应商确定资质等级。</w:t>
      </w:r>
    </w:p>
    <w:p w14:paraId="620256B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（5）联合体一方放弃中标的，视为联合体整体放弃中标，联合体各方承担连带责任。</w:t>
      </w:r>
    </w:p>
    <w:p w14:paraId="2A3CA4A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（6）如本项目不接受联合体投标而投标人为联合体的，或者本项目接受联合体投标但投标人组成的联合体不符合本章第3.2条规定的，投标无效。</w:t>
      </w:r>
    </w:p>
    <w:p w14:paraId="14FFD23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4、投标费用</w:t>
      </w:r>
    </w:p>
    <w:p w14:paraId="065FC12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4.1除招标文件另有规定外，投标人应自行承担其参加本项目投标所涉及的一切费用。</w:t>
      </w:r>
    </w:p>
    <w:p w14:paraId="44FDBDF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三、招标</w:t>
      </w:r>
    </w:p>
    <w:p w14:paraId="6716115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5、招标文件</w:t>
      </w:r>
    </w:p>
    <w:p w14:paraId="6B0DC78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5.1招标文件由下述部分组成：</w:t>
      </w:r>
    </w:p>
    <w:p w14:paraId="26CC626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（1）投标邀请</w:t>
      </w:r>
    </w:p>
    <w:p w14:paraId="3535A2F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（2）投标人须知前附表（表1、2）</w:t>
      </w:r>
    </w:p>
    <w:p w14:paraId="5EF4287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（3）投标人须知</w:t>
      </w:r>
    </w:p>
    <w:p w14:paraId="7E38E3D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（4）资格审查与评标</w:t>
      </w:r>
    </w:p>
    <w:p w14:paraId="68F061A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（5）招标内容及要求</w:t>
      </w:r>
    </w:p>
    <w:p w14:paraId="1ACAF9A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（6）政府采购合同（参考文本）</w:t>
      </w:r>
    </w:p>
    <w:p w14:paraId="4BB8B62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（7）电子投标文件格式</w:t>
      </w:r>
    </w:p>
    <w:p w14:paraId="5137BCF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（8）按照招标文件规定作为招标文件组成部分的其他内容（若有）</w:t>
      </w:r>
    </w:p>
    <w:p w14:paraId="353DF0D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5.2招标文件的澄清或修改</w:t>
      </w:r>
    </w:p>
    <w:p w14:paraId="7C06DEF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 福建榕卫招标有限公司 可对已发出的招标文件进行必要的澄清或修改，但不得对招标文件载明的采购标的和投标人的资格要求进行改变。</w:t>
      </w:r>
    </w:p>
    <w:p w14:paraId="63B107F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（2）除本章第5.2条第（3）款规定情形外，澄清或修改的内容可能影响电子投标文件编制的， 福建榕卫招标有限公司 将在投标截止时间至少15个日历日前，在招标文件载明的指定媒体以更正公告的形式发布澄清或修改的内容。不足15个日历日的， 福建榕卫招标有限公司 将顺延投标截止时间及开标时间， 福建榕卫招标有限公司 和投标人受原投标截止时间及开标时间制约的所有权利和义务均延长至新的投标截止时间及开标时间。</w:t>
      </w:r>
    </w:p>
    <w:p w14:paraId="230174A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（3）澄清或修改的内容可能改变招标文件载明的采购标的和投标人的资格要求的，本次采购活动结束， 福建榕卫招标有限公司 将依法组织后续采购活动（包括但不限于：重新招标、采用其他方式采购等）。</w:t>
      </w:r>
    </w:p>
    <w:p w14:paraId="260E003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6、现场考察或开标前答疑会</w:t>
      </w:r>
    </w:p>
    <w:p w14:paraId="29B595C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6.1是否组织现场考察或召开开标前答疑会：详见招标文件第二章。</w:t>
      </w:r>
    </w:p>
    <w:p w14:paraId="0467B9C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7、更正公告</w:t>
      </w:r>
    </w:p>
    <w:p w14:paraId="26BC079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7.1若 福建榕卫招标有限公司 发布更正公告，则更正公告及其所发布的内容或信息（包括但不限于：招标文件的澄清或修改、现场考察或答疑会的有关事宜等）作为招标文件组成部分，对投标人具有约束力。</w:t>
      </w:r>
    </w:p>
    <w:p w14:paraId="23FFCD9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7.2更正公告作为 福建榕卫招标有限公司 通知所有潜在投标人的书面形式。</w:t>
      </w:r>
    </w:p>
    <w:p w14:paraId="174B9E5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8、终止公告</w:t>
      </w:r>
    </w:p>
    <w:p w14:paraId="26D284C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8.1若出现因重大变故导致采购任务取消情形， 福建榕卫招标有限公司 可终止招标并发布终止公告。</w:t>
      </w:r>
    </w:p>
    <w:p w14:paraId="61FAB67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8.2终止公告作为 福建榕卫招标有限公司 通知所有潜在投标人的书面形式。</w:t>
      </w:r>
    </w:p>
    <w:p w14:paraId="39D4382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四、投标</w:t>
      </w:r>
    </w:p>
    <w:p w14:paraId="5492BAF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9、投标</w:t>
      </w:r>
    </w:p>
    <w:p w14:paraId="7A227D5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9.1投标人可对招标文件载明的全部或部分采购包进行投标。</w:t>
      </w:r>
    </w:p>
    <w:p w14:paraId="23C64A2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9.2投标人应对同一个采购包内的所有内容进行完整投标，否则投标无效。</w:t>
      </w:r>
    </w:p>
    <w:p w14:paraId="0FEF3F6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9.3投标人代表只能接受一个投标人的授权参加投标，否则投标无效。</w:t>
      </w:r>
    </w:p>
    <w:p w14:paraId="61D22A3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9.4单位负责人为同一人或存在直接控股、管理关系的不同供应商，不得同时参加同一合同项下的投标，否则投标无效。</w:t>
      </w:r>
    </w:p>
    <w:p w14:paraId="46E920D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9.5为本项目提供整体设计、规范编制或项目管理、监理、检测等服务的供应商，不得参加本项目除整体设计、规范编制和项目管理、监理、检测等服务外的采购活动，否则投标无效。</w:t>
      </w:r>
    </w:p>
    <w:p w14:paraId="6124AA5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9.6列入失信被执行人、重大税收违法案件当事人名单、政府采购严重违法失信行为记录名单及其他不符合政府采购法第二十二条规定条件的供应商，不得参加投标，否则投标无效。</w:t>
      </w:r>
    </w:p>
    <w:p w14:paraId="0A97939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9.7有下列情形之一的，视为投标人串通投标，其投标无效：</w:t>
      </w:r>
    </w:p>
    <w:p w14:paraId="1401DA5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（1）不同投标人的电子投标文件由同一单位或个人编制；</w:t>
      </w:r>
    </w:p>
    <w:p w14:paraId="5E070A2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（2）不同投标人委托同一单位或个人办理投标事宜；</w:t>
      </w:r>
    </w:p>
    <w:p w14:paraId="0FAFA8D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（3）不同投标人的电子投标文件载明的项目管理成员或联系人员为同一人；</w:t>
      </w:r>
    </w:p>
    <w:p w14:paraId="7D6F818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（4）不同投标人的电子投标文件异常一致或投标报价呈规律性差异；</w:t>
      </w:r>
    </w:p>
    <w:p w14:paraId="3117883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（5）不同投标人的电子投标文件相互混装；</w:t>
      </w:r>
    </w:p>
    <w:p w14:paraId="33F8090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（6）不同投标人的投标保证金从同一单位或个人的账户转出；</w:t>
      </w:r>
    </w:p>
    <w:p w14:paraId="7F33D4C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（7）有关法律、法规和规章及招标文件规定的其他串通投标情形。</w:t>
      </w:r>
    </w:p>
    <w:p w14:paraId="7A62C82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10、电子投标文件</w:t>
      </w:r>
    </w:p>
    <w:p w14:paraId="738F70E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10.1电子投标文件的编制</w:t>
      </w:r>
    </w:p>
    <w:p w14:paraId="60A675B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（1）投标人应先仔细阅读招标文件的全部内容后，再进行电子投标文件的编制。</w:t>
      </w:r>
    </w:p>
    <w:p w14:paraId="4576742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（2）电子投标文件应按照本章第10.2条规定编制其组成部分。</w:t>
      </w:r>
    </w:p>
    <w:p w14:paraId="5693D60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（3）电子投标文件应满足招标文件提出的实质性要求和条件，并保证其所提交的全部资料是不可割离且真实、有效、准确、完整和不具有任何误导性的，否则造成不利后果由投标人承担责任。</w:t>
      </w:r>
    </w:p>
    <w:p w14:paraId="0585A68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10.2电子投标文件由下述部分组成：</w:t>
      </w:r>
    </w:p>
    <w:p w14:paraId="4125DFE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（1）资格及资信证明部分</w:t>
      </w:r>
    </w:p>
    <w:p w14:paraId="0F8B437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①投标函</w:t>
      </w:r>
    </w:p>
    <w:p w14:paraId="6E8CE0D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②投标人的资格及资信证明文件</w:t>
      </w:r>
    </w:p>
    <w:p w14:paraId="1A9689D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③投标保证金</w:t>
      </w:r>
    </w:p>
    <w:p w14:paraId="3C3E33E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（2）报价部分</w:t>
      </w:r>
    </w:p>
    <w:p w14:paraId="59AF9FB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①开标（报价）一览表</w:t>
      </w:r>
    </w:p>
    <w:p w14:paraId="05B26C0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②投标（响应）报价明细表</w:t>
      </w:r>
    </w:p>
    <w:p w14:paraId="4D0337D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③招标文件规定的价格扣除证明材料（若有）</w:t>
      </w:r>
    </w:p>
    <w:p w14:paraId="71AC575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④招标文件规定的加分证明材料（若有）</w:t>
      </w:r>
    </w:p>
    <w:p w14:paraId="22BE716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（3）技术商务部分</w:t>
      </w:r>
    </w:p>
    <w:p w14:paraId="5A6056F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①标的说明一览表</w:t>
      </w:r>
    </w:p>
    <w:p w14:paraId="640C48C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②技术和服务要求响应表</w:t>
      </w:r>
    </w:p>
    <w:p w14:paraId="2AA4514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③商务条件响应表</w:t>
      </w:r>
    </w:p>
    <w:p w14:paraId="039CB35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④投标人提交的其他资料（若有）</w:t>
      </w:r>
    </w:p>
    <w:p w14:paraId="488E60D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⑤招标文件规定作为电子投标文件组成部分的其他内容（若有）</w:t>
      </w:r>
    </w:p>
    <w:p w14:paraId="0E530CC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10.3电子投标文件的语言</w:t>
      </w:r>
    </w:p>
    <w:p w14:paraId="7514CD4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（1）除招标文件另有规定外，电子投标文件应使用中文文本，若有不同文本，以中文文本为准。</w:t>
      </w:r>
    </w:p>
    <w:p w14:paraId="5B26582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电子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200E03F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10.4投标文件的份数：详见招标文件第二章。</w:t>
      </w:r>
    </w:p>
    <w:p w14:paraId="5D1D19C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10.5电子投标文件的格式</w:t>
      </w:r>
    </w:p>
    <w:p w14:paraId="5029BB2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（1）除招标文件另有规定外，电子投标文件应使用招标文件第七章规定的格式。</w:t>
      </w:r>
    </w:p>
    <w:p w14:paraId="7E68EA4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（2）除招标文件另有规定外，电子投标文件应使用不能擦去的墨料或墨水打印、书写或复印。</w:t>
      </w:r>
    </w:p>
    <w:p w14:paraId="43BD2DC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（3）除招标文件另有规定外，电子投标文件应使用人民币作为计量货币。</w:t>
      </w:r>
    </w:p>
    <w:p w14:paraId="43E014A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（4）除招标文件另有规定外，签署、盖章应遵守下列规定：</w:t>
      </w:r>
    </w:p>
    <w:p w14:paraId="1FF7DCD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①电子投标文件应加盖投标人的单位公章。若投标人代表为单位授权的委托代理人，应提供“单位授权书”。</w:t>
      </w:r>
    </w:p>
    <w:p w14:paraId="42BD024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②电子投标文件应没有涂改或行间插字，除非这些改动是根据 福建榕卫招标有限公司 的指示进行的，或是为改正投标人造成的应修改的错误而进行的。若有前述改动，应按照下列规定之一对改动处进行处理：</w:t>
      </w:r>
    </w:p>
    <w:p w14:paraId="4CD994D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a.投标人代表签字确认；</w:t>
      </w:r>
    </w:p>
    <w:p w14:paraId="1A6E9FC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b.加盖投标人的单位公章或校正章。</w:t>
      </w:r>
    </w:p>
    <w:p w14:paraId="13CFCBD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10.6投标报价</w:t>
      </w:r>
    </w:p>
    <w:p w14:paraId="179D66A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（1）投标报价超出最高限价将导致投标无效。</w:t>
      </w:r>
    </w:p>
    <w:p w14:paraId="68280C5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（2）最高限价由采购人根据价格测算情况，在预算金额的额度内合理设定。最高限价不得超出预算金额。</w:t>
      </w:r>
    </w:p>
    <w:p w14:paraId="340FB8E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（3）除招标文件另有规定外，电子投标文件不能出现任何选择性的投标报价，即每一个采购包和品目号的采购标的都只能有一个投标报价。任何选择性的投标报价将导致投标无效。</w:t>
      </w:r>
    </w:p>
    <w:p w14:paraId="022992D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10.7分包</w:t>
      </w:r>
    </w:p>
    <w:p w14:paraId="35FCAE8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（1）是否允许中标人将本项目的非主体、非关键性工作进行分包：详见招标文件第二章。</w:t>
      </w:r>
    </w:p>
    <w:p w14:paraId="5CB7EAE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若允许中标人将本项目的非主体、非关键性工作进行分包且投标人拟在中标后进行分包，则应在电子投标文件中提供分包意向协议，同时投标人应在电子投标文件中载明分包承担主体，分包承担主体应具备相应资质条件（若有）且不得再次分包。</w:t>
      </w:r>
    </w:p>
    <w:p w14:paraId="1C9E633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（3）招标文件允许中标人将非主体、非关键性工作进行分包的项目，有下列情形之一的，中标人不得分包：</w:t>
      </w:r>
    </w:p>
    <w:p w14:paraId="6303C09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①电子投标文件中未载明分包承担主体；</w:t>
      </w:r>
    </w:p>
    <w:p w14:paraId="1CC5B70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②电子投标文件载明的分包承担主体不具备相应资质条件；</w:t>
      </w:r>
    </w:p>
    <w:p w14:paraId="3144C82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③电子投标文件载明的分包承担主体拟再次分包；</w:t>
      </w:r>
    </w:p>
    <w:p w14:paraId="399AD58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④享受中小企业扶持政策获得政府采购合同的，小微企业不得将合同分包给大中型企业，中型企业不得将合同分包给大型企业。</w:t>
      </w:r>
    </w:p>
    <w:p w14:paraId="56B6C96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10.8投标有效期</w:t>
      </w:r>
    </w:p>
    <w:p w14:paraId="07184EC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（1）招标文件载明的投标有效期：详见招标文件第二章。</w:t>
      </w:r>
    </w:p>
    <w:p w14:paraId="2EBAAEC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（2）电子投标文件承诺的投标有效期不得少于招标文件载明的投标有效期，否则投标无效。</w:t>
      </w:r>
    </w:p>
    <w:p w14:paraId="7CB192B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（3）根据本次采购活动的需要， 福建榕卫招标有限公司 可于投标有效期届满之前书面要求投标人延长投标有效期，投标人应在 福建榕卫招标有限公司 规定的期限内以书面形式予以答复。对于延长投标有效期的要求，投标人可以拒绝也可以接受，投标人答复不明确或逾期未答复的，均视为拒绝该要求。对于接受延长投标有效期的投标人，既不要求也不允许修改电子投标文件。</w:t>
      </w:r>
    </w:p>
    <w:p w14:paraId="5CE4C32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10.9投标保证金</w:t>
      </w:r>
    </w:p>
    <w:p w14:paraId="1F6B6B4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（1）投标保证金作为投标人按照招标文件规定履行相应投标责任、义务的约束及担保。</w:t>
      </w:r>
    </w:p>
    <w:p w14:paraId="26D3959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（2）投标人以电子保函形式提交投标保证金的，保函的有效期应等于或长于电子投标文件承诺的投标有效期，否则投标无效。</w:t>
      </w:r>
    </w:p>
    <w:p w14:paraId="058BF4F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（3）提交</w:t>
      </w:r>
    </w:p>
    <w:p w14:paraId="5687CB4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①投标人以汇款形式缴纳投标保证金的，应从其银行账户（基本存款账户）按照下列方式：公对公转账方式向招标文件载明的投标保证金账户提交投标保证金，具体金额详见招标文件第一章。</w:t>
      </w:r>
    </w:p>
    <w:p w14:paraId="13B8EAF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投标人以电子保函形式提交投标保证金的，可在招标文件载明的投标截止时间前通过福建省政府采购平台“保函服务”栏目办理电子保函并在电汇或银行转账单上注明（项目编号）；在投标截止时间之前将电子保函文件放入投标文件中，否则视为未提交投标保证金。</w:t>
      </w:r>
    </w:p>
    <w:p w14:paraId="68D3CDB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③其他形式：</w:t>
      </w:r>
    </w:p>
    <w:p w14:paraId="7132923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无。</w:t>
      </w:r>
    </w:p>
    <w:p w14:paraId="53D9F4E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④若本项目接受联合体投标且投标人为联合体，则联合体中的牵头方应按照本章第10.9条第（3）款第①、②、③点规定提交投标保证金。</w:t>
      </w:r>
    </w:p>
    <w:p w14:paraId="50E59BA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※除招标文件另有规定外，未按照上述规定提交投标保证金将导致资格审查不合格。</w:t>
      </w:r>
    </w:p>
    <w:p w14:paraId="405BEFF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（4）退还</w:t>
      </w:r>
    </w:p>
    <w:p w14:paraId="7C03BE4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①在投标截止时间前撤回已提交的电子投标文件的投标人，其投标保证金将在 福建榕卫招标有限公司 收到投标人书面撤回通知之日起5个工作日内退回原账户。</w:t>
      </w:r>
    </w:p>
    <w:p w14:paraId="6D7FDE1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②未中标人的投标保证金将在中标通知书发出之日起5个工作日内退回原账户。</w:t>
      </w:r>
    </w:p>
    <w:p w14:paraId="46CE2AD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③中标人的投标保证金将在政府采购合同签订之日起5个工作日内退回原账户；合同签订之日以福建省政府采购网上公开信息系统记载的为准。</w:t>
      </w:r>
    </w:p>
    <w:p w14:paraId="00685F1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④终止招标的， 福建榕卫招标有限公司 将在终止公告发布之日起5个工作日内退回已收取的投标保证金及其在银行产生的孳息。</w:t>
      </w:r>
    </w:p>
    <w:p w14:paraId="6902B96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⑤除招标文件另有规定外，质疑或投诉涉及的投标人，若投标保证金尚未退还，则待质疑或投诉处理完毕后不计利息原额退还。</w:t>
      </w:r>
    </w:p>
    <w:p w14:paraId="649F79A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※本章第10.9条第（4）款第①、②、③点规定的投标保证金退还时限不包括因投标人自身原因导致无法及时退还而增加的时间。</w:t>
      </w:r>
    </w:p>
    <w:p w14:paraId="28C7F75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若出现本章第10.8条第（3）款规定情形，对于拒绝延长投标有效期的投标人，投标保证金仍可退还。对于接受延长投标有效期的投标人，相应延长投标保证金有效期，招标文件关于退还和不予退还投标保证金的规定继续适用。</w:t>
      </w:r>
    </w:p>
    <w:p w14:paraId="1713886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（6）有下列情形之一的，投标保证金将不予退还或通过投标保函进行索赔：</w:t>
      </w:r>
    </w:p>
    <w:p w14:paraId="34CC5DC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①投标人串通投标；</w:t>
      </w:r>
    </w:p>
    <w:p w14:paraId="0C7C3A4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②投标人提供虚假材料；</w:t>
      </w:r>
    </w:p>
    <w:p w14:paraId="6F7BAB0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③投标人采取不正当手段诋毁、排挤其他投标人；</w:t>
      </w:r>
    </w:p>
    <w:p w14:paraId="1B99CF1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④投标截止时间后，投标人在投标有效期内撤销电子投标文件；</w:t>
      </w:r>
    </w:p>
    <w:p w14:paraId="2E25B00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⑤招标文件规定的其他不予退还情形；</w:t>
      </w:r>
    </w:p>
    <w:p w14:paraId="0871C23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⑥中标人有下列情形之一的：</w:t>
      </w:r>
    </w:p>
    <w:p w14:paraId="2DC88BB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a.除不可抗力外，因中标人自身原因未在中标通知书要求的期限内与采购人签订政府采购合同；</w:t>
      </w:r>
    </w:p>
    <w:p w14:paraId="69D1953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b.未按照招标文件、投标文件的约定签订政府采购合同或提交履约保证金。</w:t>
      </w:r>
    </w:p>
    <w:p w14:paraId="4164982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※若上述投标保证金不予退还情形给采购人（采购代理机构）造成损失，则投标人还要承担相应的赔偿责任。</w:t>
      </w:r>
    </w:p>
    <w:p w14:paraId="4FFF9F1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10.10电子投标文件的提交</w:t>
      </w:r>
    </w:p>
    <w:p w14:paraId="0D0C91F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（1）一个投标人只能提交一个电子投标文件，并按照招标文件第一章规定在系统上完成上传、解密操作。</w:t>
      </w:r>
    </w:p>
    <w:p w14:paraId="6A9B3AE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10.11电子投标文件的补充、修改或撤回</w:t>
      </w:r>
    </w:p>
    <w:p w14:paraId="0ABD79F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（1）投标截止时间前，投标人可对所提交的电子投标文件进行补充、修改或撤回，并书面通知 福建榕卫招标有限公司 。</w:t>
      </w:r>
    </w:p>
    <w:p w14:paraId="7DCC08D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（2）补充、修改的内容应按照本章第10.5条第（4）款规定进行签署、盖章，并按照本章第10.10条规定提交，否则将被拒收。</w:t>
      </w:r>
    </w:p>
    <w:p w14:paraId="5A43232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※按照上述规定提交的补充、修改内容作为电子投标文件组成部分。</w:t>
      </w:r>
    </w:p>
    <w:p w14:paraId="47C6FD2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10.12除招标文件另有规定外，有下列情形之一的，投标无效：</w:t>
      </w:r>
    </w:p>
    <w:p w14:paraId="0019C21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（1）电子投标文件未按照招标文件要求签署、盖章；</w:t>
      </w:r>
    </w:p>
    <w:p w14:paraId="18E4B1F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（2）不符合招标文件中规定的资格要求；</w:t>
      </w:r>
    </w:p>
    <w:p w14:paraId="3F01BCC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（3）投标报价超过招标文件中规定的预算金额或最高限价；</w:t>
      </w:r>
    </w:p>
    <w:p w14:paraId="5325CA5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（4）电子投标文件含有采购人不能接受的附加条件；</w:t>
      </w:r>
    </w:p>
    <w:p w14:paraId="74E9906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（5）有关法律、法规和规章及招标文件规定的其他无效情形。</w:t>
      </w:r>
    </w:p>
    <w:p w14:paraId="3B0A1CF6">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五、开标</w:t>
      </w:r>
    </w:p>
    <w:p w14:paraId="6FFC975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11、开标</w:t>
      </w:r>
    </w:p>
    <w:p w14:paraId="3AEACAA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11.1 福建榕卫招标有限公司 将在招标文件载明的开标时间及地点主持召开开标会，并邀请投标人参加。</w:t>
      </w:r>
    </w:p>
    <w:p w14:paraId="613EED2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11.2开标会的主持人、唱标人、记录人及其他工作人员（若有）均由 福建榕卫招标有限公司 派出，现场监督人员（若有）可由有关方面派出。</w:t>
      </w:r>
    </w:p>
    <w:p w14:paraId="0F3AA72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11.3本项目的开标环节，投标人可自行选择到开标现场参加开标会或者远程参加开标会。远程参与开标流程的投标人需提前在福建省政府采购网-服务专区中下载远程开标操作手册，并按照操作手册的要求参与开标会。如因投标人自身原因造成无法正常参与开标过程的，不利后果由投标人自行承担。</w:t>
      </w:r>
    </w:p>
    <w:p w14:paraId="54ED6E8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11.4开标会应遵守下列规定：</w:t>
      </w:r>
    </w:p>
    <w:p w14:paraId="7C85BBA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首先由主持人宣布开标会须知，然后由投标人代表对电子投标文件的加密情况进行检查，经确认无误后，由工作人员对参加现场开标会投标人的电子投标文件进行解密。通过远程参与开标流程的投标人须在系统远程解密开启后，在代理机构规定时间内使用CA数字证书进行电子投标文件的解密操作，逾期未解密的视为放弃投标。</w:t>
      </w:r>
    </w:p>
    <w:p w14:paraId="2CF5C5E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唱标时，唱标人将依次宣布“投标人名称”、“各投标人关于电子投标文件补充、修改或撤回的书面通知（若有）”、“各投标人的投标报价”和招标文件规定的需要宣布的其他内容（包括但不限于：开标（报价）一览表中的内容、唱标人认为需要宣布的内容等）。</w:t>
      </w:r>
    </w:p>
    <w:p w14:paraId="6CEFFB0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（3）唱标结束后，参加现场开标会的投标人代表应对开标记录进行签字确认，通过远程参与开标流程的投标人须在系统远程签章开启后，在系统规定时间内对开标结果进行签章确认。</w:t>
      </w:r>
    </w:p>
    <w:p w14:paraId="4AB04BB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投标人代表对开标过程和开标记录有疑义，以及认为采购人（采购代理机构）相关工作人员有需要回避情形的，应当场或通过系统提出询问或回避申请。投标人代表未按规定提出疑义又拒绝对开标记录签字或通过系统远程签章确认的，视为投标人对开标过程和开标记录予以认可。</w:t>
      </w:r>
    </w:p>
    <w:p w14:paraId="766C2DB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（5）若投标人未到开标现场参加开标会，也未通过远程参加开标会的，视同认可开标结果。</w:t>
      </w:r>
    </w:p>
    <w:p w14:paraId="5F8AF9A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若出现本章第11.4条第（3）、（4）、（5）款规定情形之一，则投标人不得在开标会后就开标过程和开标记录涉及或可能涉及的有关事由（包括但不限于：“投标报价”、“电子投标文件的格式”、“电子投标文件的提交”、“电子投标文件的补充、修改或撤回”等）向 福建榕卫招标有限公司 提出任何疑义或要求（包括质疑）。</w:t>
      </w:r>
    </w:p>
    <w:p w14:paraId="0D84B10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11.5投标截止时间后，参加投标的投标人不足三家的，不进行开标。同时，本次采购活动结束， 福建榕卫招标有限公司 将依法组织后续采购活动（包括但不限于：重新招标、采用其他方式采购等）。</w:t>
      </w:r>
    </w:p>
    <w:p w14:paraId="261BF02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11.6投标截止时间后撤销投标的处理</w:t>
      </w:r>
    </w:p>
    <w:p w14:paraId="57AEAA8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投标截止时间后，投标人在投标有效期内撤销投标的，其撤销投标的行为无效。</w:t>
      </w:r>
    </w:p>
    <w:p w14:paraId="32D09BC6">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六、中标与政府采购合同</w:t>
      </w:r>
    </w:p>
    <w:p w14:paraId="233454E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12、中标</w:t>
      </w:r>
    </w:p>
    <w:p w14:paraId="0530BE6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12.1本项目推荐的中标候选人家数：详见招标文件第二章。</w:t>
      </w:r>
    </w:p>
    <w:p w14:paraId="63EB783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12.2本项目中标人的确定：详见招标文件第二章。</w:t>
      </w:r>
    </w:p>
    <w:p w14:paraId="0893AA5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12.3中标公告</w:t>
      </w:r>
    </w:p>
    <w:p w14:paraId="1153A7A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（1）中标人确定之日起2个工作日内， 福建榕卫招标有限公司 将在招标文件载明的指定媒体以中标公告的形式发布中标结果。</w:t>
      </w:r>
    </w:p>
    <w:p w14:paraId="467A65E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（2）中标公告的公告期限为1个工作日。</w:t>
      </w:r>
    </w:p>
    <w:p w14:paraId="447FEE1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12.4中标通知书</w:t>
      </w:r>
    </w:p>
    <w:p w14:paraId="500D812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（1）中标公告发布的同时， 福建榕卫招标有限公司 将向中标人发出中标通知书。</w:t>
      </w:r>
    </w:p>
    <w:p w14:paraId="2D67800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（2）中标通知书发出后，采购人不得违法改变中标结果，中标人无正当理由不得放弃中标。</w:t>
      </w:r>
    </w:p>
    <w:p w14:paraId="70947A7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13、政府采购合同</w:t>
      </w:r>
    </w:p>
    <w:p w14:paraId="3CD887E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13.1签订政府采购合同应遵守政府采购法及实施条例的规定，不得对招标文件确定的事项和中标人的电子投标文件作实质性修改。采购人不得向中标人提出任何不合理的要求作为政府采购合同的签订条件。</w:t>
      </w:r>
    </w:p>
    <w:p w14:paraId="3488954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13.2签订时限：详见须知前附表1的13.2。</w:t>
      </w:r>
    </w:p>
    <w:p w14:paraId="7011FC8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13.3政府采购合同的履行、违约责任和解决争议的方法等适用民法典。</w:t>
      </w:r>
    </w:p>
    <w:p w14:paraId="5A28963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13.4采购人与中标人应根据政府采购合同的约定依法履行合同义务。</w:t>
      </w:r>
    </w:p>
    <w:p w14:paraId="16BA11F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13.5政府采购合同履行过程中，采购人若需追加与合同标的相同的货物或服务，则追加采购金额不得超过原合同采购金额的10%。</w:t>
      </w:r>
    </w:p>
    <w:p w14:paraId="4C91DAE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13.6中标人在政府采购合同履行过程中应遵守有关法律、法规和规章的强制性规定（即使前述强制性规定有可能在招标文件中未予列明）。</w:t>
      </w:r>
    </w:p>
    <w:p w14:paraId="2C50D947">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七、询问、质疑与投诉</w:t>
      </w:r>
    </w:p>
    <w:p w14:paraId="2F01A37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14、询问</w:t>
      </w:r>
    </w:p>
    <w:p w14:paraId="48597CC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14.1潜在投标人或投标人对本次采购活动的有关事项若有疑问，可向 福建榕卫招标有限公司 提出询问， 福建榕卫招标有限公司 将按照政府采购法及实施条例的有关规定进行答复。</w:t>
      </w:r>
    </w:p>
    <w:p w14:paraId="4A03E25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15、质疑</w:t>
      </w:r>
    </w:p>
    <w:p w14:paraId="6712011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15.1针对同一采购程序环节的质疑应在政府采购法及实施条例的时限内一次性提出，对一个项目的不同采购包提出质疑的，应当将各采购包质疑事项集中在一份质疑函中提出，并同时符合下列条件：</w:t>
      </w:r>
    </w:p>
    <w:p w14:paraId="17A2469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（1）对招标文件提出质疑的，质疑人应为潜在投标人，且两者的身份、名称等均应保持一致。对采购过程、结果提出质疑的，质疑人应为投标人，且两者的身份、名称等均应保持一致。</w:t>
      </w:r>
    </w:p>
    <w:p w14:paraId="1265E34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（2）质疑人应按照招标文件第二章规定方式提交质疑函。</w:t>
      </w:r>
    </w:p>
    <w:p w14:paraId="64E8854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（3）质疑函应包括下列主要内容：</w:t>
      </w:r>
    </w:p>
    <w:p w14:paraId="0F24F89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①质疑人的基本信息，至少包括：全称、地址、邮政编码等；</w:t>
      </w:r>
    </w:p>
    <w:p w14:paraId="11D5460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②所质疑项目的基本信息，至少包括：项目编号、项目名称等；</w:t>
      </w:r>
    </w:p>
    <w:p w14:paraId="2DDBF9F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③所质疑的具体事项（以下简称：“质疑事项”）；</w:t>
      </w:r>
    </w:p>
    <w:p w14:paraId="151AFD1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④针对质疑事项提出的明确请求，前述明确请求指质疑人提出质疑的目的以及希望 福建榕卫招标有限公司 对其质疑作出的处理结果，如：暂停招标投标活动、修改招标文件、停止或纠正违法违规行为、中标结果无效、废标、重新招标等；</w:t>
      </w:r>
    </w:p>
    <w:p w14:paraId="77C1D0D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⑤针对质疑事项导致质疑人自身权益受到损害的必要证明材料，至少包括：</w:t>
      </w:r>
    </w:p>
    <w:p w14:paraId="58E10CF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a.质疑人代表的身份证明材料：</w:t>
      </w:r>
    </w:p>
    <w:p w14:paraId="1486187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1质疑人为法人或其他组织的，提供统一社会信用代码营业执照等证明文件的副本复印件、单位负责人的身份证复印件；质疑人代表为委托代理人的，还应同时提供单位负责人授权书（应载明代理人的姓名或者名称、代理事项、具体权限、期限和相关事项，授权书应由单位负责人签字或盖章，并加盖投标人的单位公章）和委托代理人的身份证复印件。</w:t>
      </w:r>
    </w:p>
    <w:p w14:paraId="0E6163B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a2若本项目接受自然人投标且质疑人为自然人的，提供本人的身份证复印件。</w:t>
      </w:r>
    </w:p>
    <w:p w14:paraId="5717EFF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b.其他证明材料（即事实依据和必要的法律依据）包括但不限于下列材料：</w:t>
      </w:r>
    </w:p>
    <w:p w14:paraId="572C87F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b1所质疑的具体事项是与自己有利害关系的证明材料；</w:t>
      </w:r>
    </w:p>
    <w:p w14:paraId="1D9DE23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b2质疑函所述事实存在的证明材料，如：采购文件、采购过程或中标结果违法违规或不符合采购文件要求等证明材料；</w:t>
      </w:r>
    </w:p>
    <w:p w14:paraId="15E4E4D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b3依法应终止采购程序的证明材料；</w:t>
      </w:r>
    </w:p>
    <w:p w14:paraId="46E2C51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b4应重新采购的证明材料；</w:t>
      </w:r>
    </w:p>
    <w:p w14:paraId="0DAE0D0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b5采购文件、采购过程或中标、成交结果损害自己合法权益的证明材料等；</w:t>
      </w:r>
    </w:p>
    <w:p w14:paraId="5BE9537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6若质疑的具体事项按照有关法律、法规和规章规定处于保密阶段，则应提供信息或证明材料为合法或公开渠道获得的有效证据（若证据无法有效表明信息或证明材料为合法或公开渠道获得，则前述信息或证明材料视为无效）。</w:t>
      </w:r>
    </w:p>
    <w:p w14:paraId="35332DC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⑥质疑人代表及其联系方法的信息，至少包括：姓名、手机、电子信箱、邮寄地址等。</w:t>
      </w:r>
    </w:p>
    <w:p w14:paraId="0A84CC4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⑦提出质疑的日期。</w:t>
      </w:r>
    </w:p>
    <w:p w14:paraId="066B1FB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※质疑人为法人或其他组织的，质疑函应由单位负责人或委托代理人签字或盖章，并加盖投标人的单位公章。质疑人为自然人的，质疑函应由本人签字。</w:t>
      </w:r>
    </w:p>
    <w:p w14:paraId="5E19CDC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15.2对不符合本章第15.1条规定的质疑，将按照下列规定进行处理：</w:t>
      </w:r>
    </w:p>
    <w:p w14:paraId="3396287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（1）不符合其中第（1）、（2）条规定的，书面告知质疑人不予受理及其理由。</w:t>
      </w:r>
    </w:p>
    <w:p w14:paraId="40004CC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（2）不符合其中第（3）条规定的，书面告知质疑人修改、补充后在规定时限内重新提交质疑函。</w:t>
      </w:r>
    </w:p>
    <w:p w14:paraId="5B6F0DF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15.3对符合本章第15.1条规定的质疑，将按照政府采购法及实施条例、政府采购质疑和投诉办法的有关规定进行答复。</w:t>
      </w:r>
    </w:p>
    <w:p w14:paraId="5D99F19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15.4招标文件的质疑：详见招标文件第二章。</w:t>
      </w:r>
    </w:p>
    <w:p w14:paraId="7C81CAD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16、投诉</w:t>
      </w:r>
    </w:p>
    <w:p w14:paraId="38E2C05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16.1若对质疑答复不满意或质疑答复未在答复期限内作出，质疑人可在答复期限届满之日起15个工作日内按照政府采购质疑和投诉办法的有关规定向招标文件第二章载明的本项目监督管理部门提起投诉。</w:t>
      </w:r>
    </w:p>
    <w:p w14:paraId="10BAA0C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16.2投诉应有明确的请求和必要的证明材料，投诉的事项不得超出已质疑事项的范围。</w:t>
      </w:r>
    </w:p>
    <w:p w14:paraId="3BD43964">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八、政府采购政策</w:t>
      </w:r>
    </w:p>
    <w:p w14:paraId="3D44282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17、政府采购政策由财政部根据国家的经济和社会发展政策并会同国家有关部委制定，包括但不限于下列具体政策要求：</w:t>
      </w:r>
    </w:p>
    <w:p w14:paraId="773E9AF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17.1进口产品指通过中国海关报关验放进入中国境内且产自关境外的产品，其中：</w:t>
      </w:r>
    </w:p>
    <w:p w14:paraId="5DD59E4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我国现行关境指适用海关法的中华人民共和国行政管辖区域，不包括香港、澳门和台湾金马等单独关境地区；保税区、出口加工区、保税港区、珠澳跨境工业区珠海园区、中哈霍尔果斯国际边境合作中心中方配套区、综合保税区等区域，为海关特殊监管区域，仍属于中华人民共和国关境内区域，由海关按照海关法实施监管。</w:t>
      </w:r>
    </w:p>
    <w:p w14:paraId="3D1527E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（2）凡在海关特殊监管区域内企业生产或加工（包括从境外进口料件）销往境内其他地区的产品，不作为政府采购项下进口产品。</w:t>
      </w:r>
    </w:p>
    <w:p w14:paraId="3081CC6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（3）对从境外进入海关特殊监管区域，再经办理报关手续后从海关特殊监管区进入境内其他地区的产品，认定为进口产品。</w:t>
      </w:r>
    </w:p>
    <w:p w14:paraId="43758F3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（4）招标文件列明不允许或未列明允许进口产品参加投标的，均视为拒绝进口产品参加投标。</w:t>
      </w:r>
    </w:p>
    <w:p w14:paraId="6DF5720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17.2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采购人拟采购的产品属于品目清单范围的，采购人及其委托的采购代理机构应当依据国家确定的认证机构出具的、处于有效期之内的节能产品、环境标志产品认证证书，对获得证书的产品实施政府优先采购或强制采购。</w:t>
      </w:r>
    </w:p>
    <w:p w14:paraId="607FDAA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17.3符合财政部、工信部文件（财库〔2020〕46号）规定的小型、微型企业可享受扶持政策（如：预留采购份额、价格评审优惠、优先采购）。符合财政部、司法部文件（财库[2014]68号）规定的监狱企业（以下简称：“监狱企业”）亦可享受前述扶持政策。符合财政部、民政部、中国残联文件（财库[2017]141号）规定的残疾人福利性单位（以下简称：“残疾人福利性单位”）亦可享受前述扶持政策。其中：</w:t>
      </w:r>
    </w:p>
    <w:p w14:paraId="44BD10A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（1）中小企业指符合下列条件的中型、小型、微型企业：</w:t>
      </w:r>
    </w:p>
    <w:p w14:paraId="0CAFB92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符合《工业和信息化部、国家统计局、国家发展和改革委员会、财政部关于印发中小企业划型标准规定的通知》（工信部联企业[2011]300号）规定的划分标准，但与大企业的负责人为同一人，或者与大企业存在直接控股、管理关系的除外；</w:t>
      </w:r>
    </w:p>
    <w:p w14:paraId="2CD08B0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②符合中小企业划分标准的个体工商户，在政府采购活动中视同中小企业。</w:t>
      </w:r>
    </w:p>
    <w:p w14:paraId="03A67E1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（2）在政府采购活动中，供应商提供的货物、工程或者服务符合下列情形的，享受本办法规定的中小企业扶持政策：</w:t>
      </w:r>
    </w:p>
    <w:p w14:paraId="469D7B5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①在货物采购项目中，货物由中小企业制造，即货物由中小企业生产且使用该中小企业商号或者注册商标；</w:t>
      </w:r>
    </w:p>
    <w:p w14:paraId="3830D6D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②在工程采购项目中，工程由中小企业承建，即工程施工单位为中小企业；</w:t>
      </w:r>
    </w:p>
    <w:p w14:paraId="5C95A07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③在服务采购项目中，服务由中小企业承接，即提供服务的人员为中小企业依照《中华人民共和国劳动合同法》订立劳动合同的从业人员。</w:t>
      </w:r>
    </w:p>
    <w:p w14:paraId="6516CFB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在货物采购项目中，供应商提供的货物既有中小企业制造货物，也有大型企业制造货物的，不享受本办法规定的中小企业扶持政策。</w:t>
      </w:r>
    </w:p>
    <w:p w14:paraId="0017EBA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以联合体形式参加政府采购活动，联合体各方均为中小企业的，联合体视同中小企业。其中，联合体各方均为小微企业的，联合体视同小微企业。</w:t>
      </w:r>
    </w:p>
    <w:p w14:paraId="0453D35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（3）投标人应当按照招标文件明确的采购标的对应行业的划分标准出具中小企业声明函。</w:t>
      </w:r>
    </w:p>
    <w:p w14:paraId="1C2967F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在项目属性为货物类采购项目中，货物应当由中小企业制造，不对其中涉及的服务的承接商作出要求；在项目属性为服务类采购项目中，服务的承接商应当为中小企业，不对其中涉及的货物的制造商作出要求；在项目属性为工程类采购项目中，工程应当由中小企业承建，不对其中涉及的货物的制造商和服务的承接商作出要求。</w:t>
      </w:r>
    </w:p>
    <w:p w14:paraId="449DBBA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监狱企业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其中：</w:t>
      </w:r>
    </w:p>
    <w:p w14:paraId="78F11F7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①监狱企业参加采购活动时，应提供由省级以上监狱管理局、戒毒管理局（含新疆生产建设兵团）出具的属于监狱企业的证明文件。</w:t>
      </w:r>
    </w:p>
    <w:p w14:paraId="7911EFE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②监狱企业视同小型、微型企业。</w:t>
      </w:r>
    </w:p>
    <w:p w14:paraId="2E164A1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（5）残疾人福利性单位指同时符合下列条件的单位：</w:t>
      </w:r>
    </w:p>
    <w:p w14:paraId="782FCA3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①安置的残疾人占本单位在职职工人数的比例不低于25%（含25%），并且安置的残疾人人数不少于10人（含10人）；</w:t>
      </w:r>
    </w:p>
    <w:p w14:paraId="73D5E2D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②依法与安置的每位残疾人签订了一年以上（含一年）的劳动合同或服务协议；</w:t>
      </w:r>
    </w:p>
    <w:p w14:paraId="52590D0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③为安置的每位残疾人按月足额缴纳了基本养老保险、基本医疗保险、失业保险、工伤保险和生育保险等社会保险费；</w:t>
      </w:r>
    </w:p>
    <w:p w14:paraId="606FC93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④通过银行等金融机构向安置的每位残疾人，按月支付了不低于单位所在区县适用的经省级人民政府批准的月最低工资标准的工资；</w:t>
      </w:r>
    </w:p>
    <w:p w14:paraId="29CAB13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⑤提供本单位制造的货物、承担的工程或服务，或提供其他残疾人福利性单位制造的货物（不包括使用非残疾人福利性单位注册商标的货物）。</w:t>
      </w:r>
    </w:p>
    <w:p w14:paraId="0BACBC0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前款所称残疾人指法定劳动年龄内，持有《中华人民共和国残疾人证》或《中华人民共和国残疾军人证（1至8级）》的自然人，包括具有劳动条件和劳动意愿的精神残疾人。在职职工人数是指与残疾人福利性单位建立劳动关系并依法签订劳动合同或服务协议的雇员人数。</w:t>
      </w:r>
    </w:p>
    <w:p w14:paraId="592DB54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符合上述条件的残疾人福利性单位参加采购活动时，应提供《残疾人福利性单位声明函》，并对声明的真实性负责。残疾人福利性单位视同小型、微型企业。残疾人福利性单位属于小型、微型企业的，不重复享受政策。</w:t>
      </w:r>
    </w:p>
    <w:p w14:paraId="4E5D4C1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17.4信用记录指由财政部确定的有关网站提供的相关主体信用信息。信用记录的查询及使用应符合财政部文件（财库[2016]125号）规定。</w:t>
      </w:r>
    </w:p>
    <w:p w14:paraId="311A454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17.5为落实政府采购政策需满足的要求：详见招标文件第一章。</w:t>
      </w:r>
    </w:p>
    <w:p w14:paraId="56AA58C8">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九、本项目的有关信息</w:t>
      </w:r>
    </w:p>
    <w:p w14:paraId="43DC595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18、本项目的有关信息，包括但不限于：招标公告、更正公告（若有）、招标文件、招标文件的澄清或修改（若有）、中标公告、终止公告（若有）、废标公告（若有）等都将在招标文件载明的指定媒体发布。</w:t>
      </w:r>
    </w:p>
    <w:p w14:paraId="73CD1A6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18.1指定媒体：详见招标文件第二章。</w:t>
      </w:r>
    </w:p>
    <w:p w14:paraId="7652240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18.2本项目的潜在投标人或投标人应随时关注指定媒体，否则产生不利后果由其自行承担。</w:t>
      </w:r>
    </w:p>
    <w:p w14:paraId="698409B1">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十、其他事项</w:t>
      </w:r>
    </w:p>
    <w:p w14:paraId="360E9E1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19、其他事项：</w:t>
      </w:r>
    </w:p>
    <w:p w14:paraId="3E8372F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19.1本项目中如涉及商品包装和快递包装的，其包装需求标准应不低于《关于印发〈商品包装政府采购需求标准(试行)〉、〈快递包装政府采购需求标准(试行)〉的通知》（财办库〔2020〕 123号）规定的包装要求，其他包装需求详见招标文件具体规定。采购人、中标人双方签订合同及验收环节，应包含上述包装要求的条款。</w:t>
      </w:r>
    </w:p>
    <w:p w14:paraId="62FF28F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19.2其他：详见招标文件第二章。</w:t>
      </w:r>
    </w:p>
    <w:p w14:paraId="4159C485">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p>
    <w:p w14:paraId="0ED36C8F">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32"/>
          <w:szCs w:val="32"/>
        </w:rPr>
        <w:t>第四章 资格审查与评标</w:t>
      </w:r>
    </w:p>
    <w:p w14:paraId="43CC6A08">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一、资格审查</w:t>
      </w:r>
    </w:p>
    <w:p w14:paraId="38DDFAF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1、开标结束后，由 福建榕卫招标有限公司 负责资格审查小组的组建及资格审查工作的组织。</w:t>
      </w:r>
    </w:p>
    <w:p w14:paraId="12FF7031">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1.1资格审查小组</w:t>
      </w:r>
    </w:p>
    <w:p w14:paraId="1029434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资格审查小组由3人组成，并负责具体审查事务，其中由采购人派出的采购人代表至少1人，由福建榕卫招标有限公司派出的工作人员至少1人，其余1人可为采购人代表或福建榕卫招标有限公司的工作人员。</w:t>
      </w:r>
    </w:p>
    <w:p w14:paraId="0CE7936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1.2资格审查的依据是招标文件和电子投标文件。</w:t>
      </w:r>
    </w:p>
    <w:p w14:paraId="4FC3BD9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1.3资格审查的范围及内容：电子投标文件（资格及资信证明部分），具体如下：</w:t>
      </w:r>
    </w:p>
    <w:p w14:paraId="118665D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（1）“投标函”；</w:t>
      </w:r>
    </w:p>
    <w:p w14:paraId="01AD569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（2）“投标人的资格及资信证明文件”</w:t>
      </w:r>
    </w:p>
    <w:p w14:paraId="4178503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①一般资格证明文件：</w:t>
      </w:r>
    </w:p>
    <w:p w14:paraId="496B45F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采购包1：</w:t>
      </w:r>
    </w:p>
    <w:tbl>
      <w:tblPr>
        <w:tblStyle w:val="8"/>
        <w:tblW w:w="4996"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30"/>
        <w:gridCol w:w="1500"/>
        <w:gridCol w:w="7005"/>
      </w:tblGrid>
      <w:tr w14:paraId="2A79A6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vAlign w:val="center"/>
          </w:tcPr>
          <w:p w14:paraId="62233C2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812" w:type="pct"/>
            <w:vAlign w:val="center"/>
          </w:tcPr>
          <w:p w14:paraId="34931F9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资格审查要求概况</w:t>
            </w:r>
          </w:p>
        </w:tc>
        <w:tc>
          <w:tcPr>
            <w:tcW w:w="3792" w:type="pct"/>
            <w:vAlign w:val="center"/>
          </w:tcPr>
          <w:p w14:paraId="6972F1C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评审点具体描述</w:t>
            </w:r>
          </w:p>
        </w:tc>
      </w:tr>
      <w:tr w14:paraId="38A688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5D48E0B3">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812" w:type="pct"/>
          </w:tcPr>
          <w:p w14:paraId="0B28C035">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单位授权书</w:t>
            </w:r>
          </w:p>
        </w:tc>
        <w:tc>
          <w:tcPr>
            <w:tcW w:w="3792" w:type="pct"/>
          </w:tcPr>
          <w:p w14:paraId="084B21BB">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①投标人（自然人除外）：若投标人代表为单位授权的委托代理人，应提供本授权书；若投标人代表为单位负责人，应在此项下提交其身份证正反面复印件，可不提供本授权书。 ②投标人为自然人的，可不填写本授权书。</w:t>
            </w:r>
          </w:p>
        </w:tc>
      </w:tr>
      <w:tr w14:paraId="6DA594D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2CAC1587">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812" w:type="pct"/>
          </w:tcPr>
          <w:p w14:paraId="0CDBAB87">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营业执照等证明文件</w:t>
            </w:r>
          </w:p>
        </w:tc>
        <w:tc>
          <w:tcPr>
            <w:tcW w:w="3792" w:type="pct"/>
          </w:tcPr>
          <w:p w14:paraId="5B3A9FDE">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tc>
      </w:tr>
      <w:tr w14:paraId="78C803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0489D8B6">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12" w:type="pct"/>
          </w:tcPr>
          <w:p w14:paraId="6B565C28">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提供财务状况报告(财务报告、或资信证明）</w:t>
            </w:r>
          </w:p>
        </w:tc>
        <w:tc>
          <w:tcPr>
            <w:tcW w:w="3792" w:type="pct"/>
          </w:tcPr>
          <w:p w14:paraId="3BA13908">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①投标人提供的财务报告复印件（成立年限按照投标截止时间推算）应符合下列规定： a.成立年限满1年及以上的投标人，提供经审计的上一年度的年度财务报告。 b.成立年限满半年但不足1年的投标人，提供该半年度中任一季度的季度财务报告或该半年度的半年度财务报告。 c.无法按照以上a、b项规定提供财务报告复印件的投标人（包括但不限于：成立年限满1年及以上的投标人、成立年限满半年但不足1年的投标人、成立年限不足半年的投标人），应选择提供资信证明复印件。</w:t>
            </w:r>
          </w:p>
        </w:tc>
      </w:tr>
      <w:tr w14:paraId="61C1ABE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3E1CF60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812" w:type="pct"/>
          </w:tcPr>
          <w:p w14:paraId="26EF587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依法缴纳税收证明材料</w:t>
            </w:r>
          </w:p>
        </w:tc>
        <w:tc>
          <w:tcPr>
            <w:tcW w:w="3792" w:type="pct"/>
          </w:tcPr>
          <w:p w14:paraId="5A8138B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①投标人提供的税收缴纳凭据复印件应符合下列规定： a.投标截止时间前（不含投标截止时间的当月）已依法缴纳税收的投标人，提供投标截止时间前六个月（不含投标截止时间的当月）中任一月份的税收缴纳凭据复印件。 b.投标截止时间的当月成立的投标人，视同满足本项资格条件要求。 c.若为依法免税范围的投标人，提供依法免税证明材料的，视同满足本项资格条件要求。</w:t>
            </w:r>
          </w:p>
        </w:tc>
      </w:tr>
      <w:tr w14:paraId="541D2A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348DF772">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812" w:type="pct"/>
          </w:tcPr>
          <w:p w14:paraId="00F0BC20">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依法缴纳社会保障资金证明材料</w:t>
            </w:r>
          </w:p>
        </w:tc>
        <w:tc>
          <w:tcPr>
            <w:tcW w:w="3792" w:type="pct"/>
          </w:tcPr>
          <w:p w14:paraId="166399B3">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①投标人提供的社会保障资金缴纳凭据复印件应符合下列规定： a.投标截止时间前（不含投标截止时间的当月）已依法缴纳社会保障资金的投标人，提供投标截止时间前六个月（不含投标截止时间的当月）中任一月份的社会保障资金缴纳凭据复印件。 b.投标截止时间的当月成立的投标人，视同满足本项资格条件要求。 c.若为依法不需要缴纳或暂缓缴纳社会保障资金的投标人，提供依法不需要缴纳或暂缓缴纳社会保障资金证明材料的，视同满足本项资格条件要求。</w:t>
            </w:r>
          </w:p>
        </w:tc>
      </w:tr>
      <w:tr w14:paraId="6A47480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2BD9B582">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812" w:type="pct"/>
          </w:tcPr>
          <w:p w14:paraId="517F7824">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具备履行合同所必需设备和专业技术能力的声明函(若有)</w:t>
            </w:r>
          </w:p>
        </w:tc>
        <w:tc>
          <w:tcPr>
            <w:tcW w:w="3792" w:type="pct"/>
          </w:tcPr>
          <w:p w14:paraId="5B06856C">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①招标文件未要求投标人提供“具备履行合同所必需的设备和专业技术能力专项证明材料”的，投标人应提供本声明函。 ②招标文件要求投标人提供“具备履行合同所必需的设备和专业技术能力专项证明材料”的，投标人可不提供本声明函。</w:t>
            </w:r>
          </w:p>
        </w:tc>
      </w:tr>
      <w:tr w14:paraId="425E2CE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137BC174">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812" w:type="pct"/>
          </w:tcPr>
          <w:p w14:paraId="1AA37274">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参加采购活动前三年内在经营活动中没有重大违法记录的声明</w:t>
            </w:r>
          </w:p>
        </w:tc>
        <w:tc>
          <w:tcPr>
            <w:tcW w:w="3792" w:type="pct"/>
          </w:tcPr>
          <w:p w14:paraId="1C722E4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①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26D417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08B36E93">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8</w:t>
            </w:r>
          </w:p>
        </w:tc>
        <w:tc>
          <w:tcPr>
            <w:tcW w:w="812" w:type="pct"/>
          </w:tcPr>
          <w:p w14:paraId="5E58124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信用记录查询结果</w:t>
            </w:r>
          </w:p>
        </w:tc>
        <w:tc>
          <w:tcPr>
            <w:tcW w:w="3792" w:type="pct"/>
          </w:tcPr>
          <w:p w14:paraId="286BEBE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①信用记录查询的截止时点：信用记录查询的截止时点为本项目投标截止当日。②信用记录查询渠道：信用中国（www.creditchina.gov.cn）、中国政府采购网（www.ccgp.gov.cn）。 ③信用记录的查询：由资格审查小组通过上述网站查询并打印投标人的信用记录。 ④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r w14:paraId="23A7A9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1CE5EDF0">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9</w:t>
            </w:r>
          </w:p>
        </w:tc>
        <w:tc>
          <w:tcPr>
            <w:tcW w:w="812" w:type="pct"/>
          </w:tcPr>
          <w:p w14:paraId="3AB86432">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中小企业声明函（以资格条件落实中小企业扶持政策时适用 ）</w:t>
            </w:r>
          </w:p>
        </w:tc>
        <w:tc>
          <w:tcPr>
            <w:tcW w:w="3792" w:type="pct"/>
          </w:tcPr>
          <w:p w14:paraId="09052DF8">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投标人应认真对照工信部联企业[2011]300号《工业和信息化部、国家统计局、国家发展和改革委员会、财政部关于印发中小企业划型标准规定的通知》规定的划分标准，并按照国统字[2017]213号《关于印发&lt;统计上大中小微型企业划分办法(2017)&gt;的通知》规定准确划分企业类型。本项目采购标的对应的中小企业划分标准所属行业详见特定资格条件。 ②投标人为监狱企业的，可不填写本声明函，根据其提供的由省级以上监狱管理局、戒毒管理局（含新疆生产建设兵团）出具的属于监狱企业的证明文件进行认定，监狱企业视同小型、微型企业。 ③投标人为残疾人福利性单位的，可不填写本声明函，根据其提供的《残疾人福利性单位声明函》进行认定，残疾人福利性单位视同小型、微型企业。 ④以联合体形式落实中小企业预留份额时，还需提供《联合体协议》。 ⑤以合同分包形式落实中小企业预留份额时，还需提供《分包意向协议》。</w:t>
            </w:r>
          </w:p>
        </w:tc>
      </w:tr>
      <w:tr w14:paraId="63743C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95" w:type="pct"/>
          </w:tcPr>
          <w:p w14:paraId="45C95EA4">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10</w:t>
            </w:r>
          </w:p>
        </w:tc>
        <w:tc>
          <w:tcPr>
            <w:tcW w:w="812" w:type="pct"/>
          </w:tcPr>
          <w:p w14:paraId="0A723E2F">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联合体协议（若有）</w:t>
            </w:r>
          </w:p>
        </w:tc>
        <w:tc>
          <w:tcPr>
            <w:tcW w:w="3792" w:type="pct"/>
          </w:tcPr>
          <w:p w14:paraId="1AAAFE82">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①招标文件接受联合体投标且投标人为联合体的，投标人应提供本协议；否则无须提供。 ②本协议由委托代理人签字或盖章的，应按照招标文件第七章载明的格式提供“单位授权书”。</w:t>
            </w:r>
          </w:p>
        </w:tc>
      </w:tr>
    </w:tbl>
    <w:p w14:paraId="07E4422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※备注说明</w:t>
      </w:r>
    </w:p>
    <w:p w14:paraId="7F219B8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①投标人应根据自身实际情况提供上述资格要求的证明材料，格式可参考招标文件第七章提供。</w:t>
      </w:r>
    </w:p>
    <w:p w14:paraId="6701BF3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②投标人提供的相应证明材料复印件均应符合：内容完整、清晰、整洁，并由投标人加盖其单位公章。</w:t>
      </w:r>
    </w:p>
    <w:p w14:paraId="00A2FF6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③根据招标文件第四章第一点资格审查的1.3“④其他资格证明文件”要求，允许供应商采用资格承诺制的并提供符合要求的资格承诺函，视为满足招标文件的资格要求。</w:t>
      </w:r>
    </w:p>
    <w:p w14:paraId="16533AA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④.其他资格证明文件：</w:t>
      </w:r>
    </w:p>
    <w:p w14:paraId="334C9F7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w:t>
      </w: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245"/>
        <w:gridCol w:w="6997"/>
      </w:tblGrid>
      <w:tr w14:paraId="1742103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245" w:type="dxa"/>
          </w:tcPr>
          <w:p w14:paraId="34F919F0">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资格审查要求概况</w:t>
            </w:r>
          </w:p>
        </w:tc>
        <w:tc>
          <w:tcPr>
            <w:tcW w:w="6997" w:type="dxa"/>
          </w:tcPr>
          <w:p w14:paraId="361A9817">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评审点具体描述</w:t>
            </w:r>
          </w:p>
        </w:tc>
      </w:tr>
      <w:tr w14:paraId="40B502A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245" w:type="dxa"/>
            <w:vAlign w:val="center"/>
          </w:tcPr>
          <w:p w14:paraId="75AB5ABB">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资格承诺函</w:t>
            </w:r>
          </w:p>
        </w:tc>
        <w:tc>
          <w:tcPr>
            <w:tcW w:w="6997" w:type="dxa"/>
            <w:vAlign w:val="center"/>
          </w:tcPr>
          <w:p w14:paraId="799AA21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14:paraId="68A597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245" w:type="dxa"/>
            <w:vAlign w:val="center"/>
          </w:tcPr>
          <w:p w14:paraId="31F490B4">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特定资格条件</w:t>
            </w:r>
          </w:p>
        </w:tc>
        <w:tc>
          <w:tcPr>
            <w:tcW w:w="6997" w:type="dxa"/>
            <w:vAlign w:val="center"/>
          </w:tcPr>
          <w:p w14:paraId="7F1DB83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投标人须</w:t>
            </w:r>
            <w:r>
              <w:rPr>
                <w:rFonts w:hint="eastAsia" w:ascii="宋体" w:hAnsi="宋体" w:eastAsia="宋体" w:cs="宋体"/>
                <w:sz w:val="24"/>
                <w:szCs w:val="24"/>
                <w:highlight w:val="none"/>
                <w:lang w:val="en-US" w:eastAsia="zh-CN"/>
              </w:rPr>
              <w:t>具备</w:t>
            </w:r>
            <w:r>
              <w:rPr>
                <w:rFonts w:hint="eastAsia" w:ascii="宋体" w:hAnsi="宋体" w:eastAsia="宋体" w:cs="宋体"/>
                <w:sz w:val="24"/>
                <w:szCs w:val="24"/>
                <w:highlight w:val="none"/>
              </w:rPr>
              <w:t>《医疗机构执业许可证》</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须提供</w:t>
            </w:r>
            <w:r>
              <w:rPr>
                <w:rFonts w:hint="eastAsia" w:ascii="宋体" w:hAnsi="宋体" w:eastAsia="宋体" w:cs="宋体"/>
                <w:sz w:val="24"/>
                <w:szCs w:val="24"/>
                <w:highlight w:val="none"/>
              </w:rPr>
              <w:t>医疗机构执业许可证</w:t>
            </w:r>
            <w:r>
              <w:rPr>
                <w:rFonts w:hint="eastAsia" w:ascii="宋体" w:hAnsi="宋体" w:eastAsia="宋体" w:cs="宋体"/>
                <w:sz w:val="24"/>
                <w:szCs w:val="24"/>
                <w:highlight w:val="none"/>
                <w:lang w:val="en-US" w:eastAsia="zh-CN"/>
              </w:rPr>
              <w:t>复印件加盖投标人公章。</w:t>
            </w:r>
          </w:p>
        </w:tc>
      </w:tr>
    </w:tbl>
    <w:p w14:paraId="7D6DE06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（3）投标保证金。</w:t>
      </w:r>
    </w:p>
    <w:p w14:paraId="4DEB934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1.4有下列情形之一的，资格审查不合格：</w:t>
      </w:r>
    </w:p>
    <w:tbl>
      <w:tblPr>
        <w:tblStyle w:val="8"/>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242"/>
      </w:tblGrid>
      <w:tr w14:paraId="7BDAEB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1C24720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明细</w:t>
            </w:r>
          </w:p>
        </w:tc>
      </w:tr>
      <w:tr w14:paraId="6DB3B4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3F6F543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未按照招标文件规定提交投标函</w:t>
            </w:r>
          </w:p>
        </w:tc>
      </w:tr>
      <w:tr w14:paraId="7AA5542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4DE60C0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未按照招标文件规定提交投标人的资格及资信文件</w:t>
            </w:r>
          </w:p>
        </w:tc>
      </w:tr>
      <w:tr w14:paraId="0BEAE6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000" w:type="pct"/>
          </w:tcPr>
          <w:p w14:paraId="614E417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未按照招标文件规定提交投标保证金</w:t>
            </w:r>
          </w:p>
        </w:tc>
      </w:tr>
    </w:tbl>
    <w:p w14:paraId="521274A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采购包1：</w:t>
      </w:r>
    </w:p>
    <w:p w14:paraId="4828C66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资格审查不合格项：</w:t>
      </w:r>
    </w:p>
    <w:tbl>
      <w:tblPr>
        <w:tblStyle w:val="8"/>
        <w:tblW w:w="4999"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429"/>
        <w:gridCol w:w="7811"/>
      </w:tblGrid>
      <w:tr w14:paraId="7532E4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73" w:type="pct"/>
          </w:tcPr>
          <w:p w14:paraId="04AAC4E6">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情形</w:t>
            </w:r>
          </w:p>
        </w:tc>
        <w:tc>
          <w:tcPr>
            <w:tcW w:w="4226" w:type="pct"/>
          </w:tcPr>
          <w:p w14:paraId="64E287E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明细</w:t>
            </w:r>
          </w:p>
        </w:tc>
      </w:tr>
      <w:tr w14:paraId="414FC56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73" w:type="pct"/>
            <w:vAlign w:val="center"/>
          </w:tcPr>
          <w:p w14:paraId="791E02D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其他情形</w:t>
            </w:r>
          </w:p>
        </w:tc>
        <w:tc>
          <w:tcPr>
            <w:tcW w:w="4226" w:type="pct"/>
          </w:tcPr>
          <w:p w14:paraId="5C44A20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资格及资信证明部分中不得出现报价部分的全部或部分的投标报价信息（或组成资料），否则资格审查不合格。（联合体协议及分包意向协议中的比例规定，不适用本条款）</w:t>
            </w:r>
          </w:p>
        </w:tc>
      </w:tr>
    </w:tbl>
    <w:p w14:paraId="2AC623F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1.5若本项目接受联合体投标且投标人为联合体，联合体中有同类资质的供应商按照联合体分工承担相同工作的，应先按照资质等级较低的供应商确定资质等级，再按照本章第1.2、1.3、1.4条规定进行资格审查。</w:t>
      </w:r>
    </w:p>
    <w:p w14:paraId="35AE093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2、资格审查情况不得私自外泄，有关信息由 福建榕卫招标有限公司 统一对外发布。</w:t>
      </w:r>
    </w:p>
    <w:p w14:paraId="1FA674E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3、资格审查合格的投标人不足三家的，不进行评标。同时，本次采购活动结束， 福建榕卫招标有限公司 将依法组织后续采购活动（包括但不限于：重新招标、采用其他方式采购等）。</w:t>
      </w:r>
    </w:p>
    <w:p w14:paraId="2748362F">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二、评标</w:t>
      </w:r>
    </w:p>
    <w:p w14:paraId="58E9B4D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4、资格审查结束后，由 福建榕卫招标有限公司 负责评标委员会的组建及评标工作的组织。</w:t>
      </w:r>
    </w:p>
    <w:p w14:paraId="61F0A13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5、评标委员会</w:t>
      </w:r>
    </w:p>
    <w:p w14:paraId="43D02D4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由采购人代表和评审专家两部分共5人组成，其中由福建省政府采购评审专家库产生的评审专家4人，由采购人派出的采购人代表1人。</w:t>
      </w:r>
    </w:p>
    <w:p w14:paraId="580AFAF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5.2评标委员会负责具体评标事务，并按照下列原则依法独立履行有关职责：</w:t>
      </w:r>
    </w:p>
    <w:p w14:paraId="68C393C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（1）评标应保护国家利益、社会公共利益和各方当事人合法权益，提高采购效益，保证项目质量。</w:t>
      </w:r>
    </w:p>
    <w:p w14:paraId="00833EA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（2）评标应遵循公平、公正、科学、严谨和择优原则。</w:t>
      </w:r>
    </w:p>
    <w:p w14:paraId="7F9BDC0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（3）评标的依据是招标文件和电子投标文件。</w:t>
      </w:r>
    </w:p>
    <w:p w14:paraId="168E790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（4）应按照招标文件规定推荐中标候选人或确定中标人。</w:t>
      </w:r>
    </w:p>
    <w:p w14:paraId="2618A8E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（5）评标应遵守下列评标纪律：</w:t>
      </w:r>
    </w:p>
    <w:p w14:paraId="3B43ABD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①评标情况不得私自外泄，有关信息由 福建榕卫招标有限公司 统一对外发布。</w:t>
      </w:r>
    </w:p>
    <w:p w14:paraId="37ADC74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②对 福建榕卫招标有限公司 或投标人提供的要求保密的资料，不得摘记翻印和外传。</w:t>
      </w:r>
    </w:p>
    <w:p w14:paraId="50A6572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③不得收受投标人或有关人员的任何礼物，不得串联鼓动其他人袒护某投标人。若与投标人存在利害关系，则应主动声明并回避。</w:t>
      </w:r>
    </w:p>
    <w:p w14:paraId="185EE25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④全体评委应按照招标文件规定进行评标，一切认定事项应查有实据且不得弄虚作假。</w:t>
      </w:r>
    </w:p>
    <w:p w14:paraId="3413ADC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⑤评标中应充分发扬民主，推荐中标候选人或确定中标人后要服从评标报告。</w:t>
      </w:r>
    </w:p>
    <w:p w14:paraId="2BDCE0A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※对违反评标纪律的评委，将取消其评委资格，对评标工作造成严重损失者将予以通报批评乃至追究法律责任。</w:t>
      </w:r>
    </w:p>
    <w:p w14:paraId="31D16FC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6、评标程序</w:t>
      </w:r>
    </w:p>
    <w:p w14:paraId="5094BE4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6.1评标前的准备工作</w:t>
      </w:r>
    </w:p>
    <w:p w14:paraId="0FAA757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（1）全体评委应认真审阅招标文件，了解评委应履行或遵守的职责、义务和评标纪律。</w:t>
      </w:r>
    </w:p>
    <w:p w14:paraId="19A5989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（2）参加评标委员会的采购人代表可对本项目的背景和采购需求进行介绍，介绍材料应以书面形式提交（随采购文件一并存档），介绍内容不得含有歧视性、倾向性意见，不得超出招标文件所述范围。</w:t>
      </w:r>
    </w:p>
    <w:p w14:paraId="4982D25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6.2符合性审查</w:t>
      </w:r>
    </w:p>
    <w:p w14:paraId="575B7D3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（1）评标委员会依据招标文件的实质性要求，对通过资格审查的电子投标文件进行符合性审查，以确定其是否满足招标文件的实质性要求。</w:t>
      </w:r>
    </w:p>
    <w:p w14:paraId="124F24E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（2）满足招标文件的实质性要求指电子投标文件对招标文件实质性要求的响应不存在重大偏差或保留。</w:t>
      </w:r>
    </w:p>
    <w:p w14:paraId="4D97473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重大偏差或保留指影响到招标文件规定的合同范围、合同履行及影响关键质量和性能，或限制了采购人的权利，或反对、减少投标人的义务，而纠正这些重大偏差或保留将影响到其他提交实质性响应投标的投标人的公平竞争地位。</w:t>
      </w:r>
    </w:p>
    <w:p w14:paraId="0D7D0AA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评标委员会审查判断电子投标文件是否满足招标文件的实质性要求仅基于电子投标文件本身而不寻求其他的外部证据。未满足招标文件实质性要求的电子投标文件将被评标委员会否决（即符合性审查不合格），被否决的电子投标文件不能通过补充、修改（澄清、说明或补正）等方式重新成为满足招标文件实质性要求的电子投标文件。</w:t>
      </w:r>
    </w:p>
    <w:p w14:paraId="36E24F9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（5）评标委员会对所有投标人都执行相同的程序和标准。</w:t>
      </w:r>
    </w:p>
    <w:p w14:paraId="20549FC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（6）有下列情形之一的，符合性审查不合格：</w:t>
      </w:r>
    </w:p>
    <w:p w14:paraId="7491D29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①项目一般情形：</w:t>
      </w:r>
    </w:p>
    <w:p w14:paraId="44FD0DE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w:t>
      </w:r>
    </w:p>
    <w:tbl>
      <w:tblPr>
        <w:tblStyle w:val="8"/>
        <w:tblW w:w="4997"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03"/>
        <w:gridCol w:w="2310"/>
        <w:gridCol w:w="6123"/>
      </w:tblGrid>
      <w:tr w14:paraId="4015C13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35" w:type="pct"/>
          </w:tcPr>
          <w:p w14:paraId="314B0F8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250" w:type="pct"/>
          </w:tcPr>
          <w:p w14:paraId="3DD71C3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符合审查要求概况</w:t>
            </w:r>
          </w:p>
        </w:tc>
        <w:tc>
          <w:tcPr>
            <w:tcW w:w="3314" w:type="pct"/>
          </w:tcPr>
          <w:p w14:paraId="20FF575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评审点具体描述</w:t>
            </w:r>
          </w:p>
        </w:tc>
      </w:tr>
      <w:tr w14:paraId="4BE1C94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35" w:type="pct"/>
          </w:tcPr>
          <w:p w14:paraId="0D50775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250" w:type="pct"/>
          </w:tcPr>
          <w:p w14:paraId="5EBA487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情形1</w:t>
            </w:r>
          </w:p>
        </w:tc>
        <w:tc>
          <w:tcPr>
            <w:tcW w:w="3314" w:type="pct"/>
          </w:tcPr>
          <w:p w14:paraId="04DCBDC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违反招标文件中载明“投标无效”条款的规定；</w:t>
            </w:r>
          </w:p>
        </w:tc>
      </w:tr>
      <w:tr w14:paraId="2484CA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35" w:type="pct"/>
          </w:tcPr>
          <w:p w14:paraId="52A7126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250" w:type="pct"/>
          </w:tcPr>
          <w:p w14:paraId="76DEF64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情形2</w:t>
            </w:r>
          </w:p>
        </w:tc>
        <w:tc>
          <w:tcPr>
            <w:tcW w:w="3314" w:type="pct"/>
          </w:tcPr>
          <w:p w14:paraId="72A9339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属于招标文件第三章第10.12条规定的投标无效情形；</w:t>
            </w:r>
          </w:p>
        </w:tc>
      </w:tr>
      <w:tr w14:paraId="3DBD5E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35" w:type="pct"/>
          </w:tcPr>
          <w:p w14:paraId="0C408E1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1250" w:type="pct"/>
          </w:tcPr>
          <w:p w14:paraId="0CE807C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情形3</w:t>
            </w:r>
          </w:p>
        </w:tc>
        <w:tc>
          <w:tcPr>
            <w:tcW w:w="3314" w:type="pct"/>
          </w:tcPr>
          <w:p w14:paraId="1E322E7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投标文件对招标文件实质性要求的响应存在重大偏离或保留。</w:t>
            </w:r>
          </w:p>
        </w:tc>
      </w:tr>
    </w:tbl>
    <w:p w14:paraId="6E1998E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②本项目规定的其他情形：</w:t>
      </w:r>
    </w:p>
    <w:p w14:paraId="3F9E5D9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w:t>
      </w:r>
    </w:p>
    <w:p w14:paraId="73CFA70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技术符合性</w:t>
      </w:r>
    </w:p>
    <w:tbl>
      <w:tblPr>
        <w:tblStyle w:val="8"/>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209"/>
        <w:gridCol w:w="8033"/>
      </w:tblGrid>
      <w:tr w14:paraId="0D8972C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54" w:type="pct"/>
            <w:vAlign w:val="center"/>
          </w:tcPr>
          <w:p w14:paraId="156690CF">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情形</w:t>
            </w:r>
          </w:p>
        </w:tc>
        <w:tc>
          <w:tcPr>
            <w:tcW w:w="4345" w:type="pct"/>
          </w:tcPr>
          <w:p w14:paraId="70BE00CF">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明细</w:t>
            </w:r>
          </w:p>
        </w:tc>
      </w:tr>
      <w:tr w14:paraId="6F4085A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54" w:type="pct"/>
            <w:vAlign w:val="center"/>
          </w:tcPr>
          <w:p w14:paraId="703DD0F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其他情形</w:t>
            </w:r>
          </w:p>
        </w:tc>
        <w:tc>
          <w:tcPr>
            <w:tcW w:w="4345" w:type="pct"/>
          </w:tcPr>
          <w:p w14:paraId="39C46F9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1.招标文件【第五章 招标内容及要求中“二、技术和服务要求”】以“★”标示的内容为不允许负偏离的实质性要求，若负偏离则投标无效。2.技术部分中不得出现报价部分的全部或部分的投标报价信息（或组成资料），否则符合性审查不合格。3.违反招标文件中载明“投标无效”条款的规定或不符合招标文件规定的其它实质性要求。</w:t>
            </w:r>
          </w:p>
        </w:tc>
      </w:tr>
    </w:tbl>
    <w:p w14:paraId="45500E4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商务符合性</w:t>
      </w:r>
    </w:p>
    <w:tbl>
      <w:tblPr>
        <w:tblStyle w:val="8"/>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270"/>
        <w:gridCol w:w="7972"/>
      </w:tblGrid>
      <w:tr w14:paraId="140FE5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87" w:type="pct"/>
          </w:tcPr>
          <w:p w14:paraId="40D1E57E">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情形</w:t>
            </w:r>
          </w:p>
        </w:tc>
        <w:tc>
          <w:tcPr>
            <w:tcW w:w="4312" w:type="pct"/>
          </w:tcPr>
          <w:p w14:paraId="38886DC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明细</w:t>
            </w:r>
          </w:p>
        </w:tc>
      </w:tr>
      <w:tr w14:paraId="05C1573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87" w:type="pct"/>
            <w:vAlign w:val="center"/>
          </w:tcPr>
          <w:p w14:paraId="04FE6A9B">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其他情形</w:t>
            </w:r>
          </w:p>
        </w:tc>
        <w:tc>
          <w:tcPr>
            <w:tcW w:w="4312" w:type="pct"/>
          </w:tcPr>
          <w:p w14:paraId="315A419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1.招标文件“第五章 三、商务条件”中的以“★”标示的内容为不允许负偏离的实质性要求，若负偏离则投标无效。（本招标文件中有不一致的地方，以此条款为准）2.商务部分中不得出现报价部分的全部或部分的投标报价信息（或组成资料），否则符合性审查不合格。3.违反招标文件中载明“投标无效”条款的规定或不符合招标文件规定的其它实质性要求。</w:t>
            </w:r>
          </w:p>
        </w:tc>
      </w:tr>
    </w:tbl>
    <w:p w14:paraId="0468D94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价格符合性</w:t>
      </w:r>
    </w:p>
    <w:tbl>
      <w:tblPr>
        <w:tblStyle w:val="8"/>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270"/>
        <w:gridCol w:w="7972"/>
      </w:tblGrid>
      <w:tr w14:paraId="48E677C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87" w:type="pct"/>
          </w:tcPr>
          <w:p w14:paraId="76488B2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情形</w:t>
            </w:r>
          </w:p>
        </w:tc>
        <w:tc>
          <w:tcPr>
            <w:tcW w:w="4312" w:type="pct"/>
          </w:tcPr>
          <w:p w14:paraId="635B312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明细</w:t>
            </w:r>
          </w:p>
        </w:tc>
      </w:tr>
      <w:tr w14:paraId="7858D0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87" w:type="pct"/>
            <w:vAlign w:val="center"/>
          </w:tcPr>
          <w:p w14:paraId="4CEA3D33">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其他情形</w:t>
            </w:r>
          </w:p>
        </w:tc>
        <w:tc>
          <w:tcPr>
            <w:tcW w:w="4312" w:type="pct"/>
          </w:tcPr>
          <w:p w14:paraId="3A15086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评标委员会认为投标人的报价明显低于其他通过符合性审查投标人的报价，有可能影响产品质量或不能诚信履约的，投标人未在合理的时间内提供书面说明或不能证明其报价合理性的，按无效投标处理。</w:t>
            </w:r>
          </w:p>
        </w:tc>
      </w:tr>
    </w:tbl>
    <w:p w14:paraId="77D2FF2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6.3澄清有关问题</w:t>
      </w:r>
    </w:p>
    <w:p w14:paraId="0905D79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（1）对通过符合性审查的电子投标文件中含义不明确、同类问题表述不一致或有明显文字和计算错误的内容，评标委员会将以书面形式要求投标人作出必要的澄清、说明或补正。</w:t>
      </w:r>
    </w:p>
    <w:p w14:paraId="67912C8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投标人的澄清、说明或补正应由投标人代表在评标委员会规定的时间内（一般在半个小时左右，具体要求将根据实际情况在澄清通知中约定）以书面形式向评标委员会提交，前述澄清、说明或补正不得超出电子投标文件的范围或改变电子投标文件的实质性内容。若投标人未按照前述规定向评标委员会提交书面澄清、说明或补正，则评标委员会将按照不利于投标人的内容进行认定。</w:t>
      </w:r>
    </w:p>
    <w:p w14:paraId="4C0F673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（3）电子投标文件报价出现前后不一致的，除招标文件另有规定外，按照下列规定修正：</w:t>
      </w:r>
    </w:p>
    <w:p w14:paraId="29CE616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①开标（报价）一览表内容与电子投标文件中相应内容不一致的，以开标（报价）一览表为准；</w:t>
      </w:r>
    </w:p>
    <w:p w14:paraId="2106155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②大写金额和小写金额不一致的，以大写金额为准；</w:t>
      </w:r>
    </w:p>
    <w:p w14:paraId="51CCD55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③单价金额小数点或百分比有明显错位的，以开标（报价）一览表的总价为准，并修改单价；</w:t>
      </w:r>
    </w:p>
    <w:p w14:paraId="157AB1E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④总价金额与按照单价汇总金额不一致的，以单价金额计算结果为准。</w:t>
      </w:r>
    </w:p>
    <w:p w14:paraId="09DF759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※同时出现两种以上不一致的，按照前款规定的顺序修正。修正后的报价应按照本章第6.3条第（1）、（2）款规定经投标人确认后产生约束力，投标人不确认的，其投标无效。</w:t>
      </w:r>
    </w:p>
    <w:p w14:paraId="620264B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（4）关于细微偏差</w:t>
      </w:r>
    </w:p>
    <w:p w14:paraId="100D7FA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细微偏差指电子投标文件实质性响应招标文件要求，但在个别地方存在漏项或提供了不完整的技术信息和数据等情况，并且补正这些遗漏或不完整不会对其他投标人造成不公平的结果。细微偏差不影响电子投标文件的有效性。</w:t>
      </w:r>
    </w:p>
    <w:p w14:paraId="0389F07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②评标委员会将以书面形式要求存在细微偏差的投标人在评标委员会规定的时间内予以补正。若无法补正，则评标委员会将按照不利于投标人的内容进行认定。</w:t>
      </w:r>
    </w:p>
    <w:p w14:paraId="3046748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（5）关于投标描述（即电子投标文件中描述的内容）</w:t>
      </w:r>
    </w:p>
    <w:p w14:paraId="00146A1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①投标描述前后不一致且不涉及证明材料的：按照本章第6.3条第（1）、（2）款规定执行。</w:t>
      </w:r>
    </w:p>
    <w:p w14:paraId="7A13242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②投标描述与证明材料不一致或多份证明材料之间不一致的：</w:t>
      </w:r>
    </w:p>
    <w:p w14:paraId="3D449D0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a.评标委员会将要求投标人进行书面澄清，并按照不利于投标人的内容进行评标。</w:t>
      </w:r>
    </w:p>
    <w:p w14:paraId="0BE3772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b.投标人按照要求进行澄清的，采购人以澄清内容为准进行验收；投标人未按照要求进行澄清的，采购人以投标描述或证明材料中有利于采购人的内容进行验收。投标人应对证明材料的真实性、有效性承担责任。</w:t>
      </w:r>
    </w:p>
    <w:p w14:paraId="14D8E22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若中标人的投标描述存在前后不一致、与证明材料不一致或多份证明材料之间不一致情形之一但在评标中未能发现，则采购人将以投标描述或证明材料中有利于采购人的内容进行验收，中标人应自行承担由此产生的风险及费用。</w:t>
      </w:r>
    </w:p>
    <w:p w14:paraId="7A8A6EB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6.4比较与评价</w:t>
      </w:r>
    </w:p>
    <w:p w14:paraId="6DEF37A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（1）按照本章第7条载明的评标方法和标准，对符合性审查合格的电子投标文件进行比较与评价。</w:t>
      </w:r>
    </w:p>
    <w:p w14:paraId="5946DA2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（2）关于相同品牌产品（政府采购服务类项目不适用本条款规定）</w:t>
      </w:r>
    </w:p>
    <w:p w14:paraId="3E3329E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采用最低评标价法的，提供相同品牌产品的不同投标人参加同一合同项下投标的，以其中通过资格审查、符合性审查且报价最低的参加评标；报价相同的，由评标委员会按照下列方式确定一个参加评标的投标人：</w:t>
      </w:r>
    </w:p>
    <w:p w14:paraId="690FF47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a.招标文件规定的方式：</w:t>
      </w:r>
    </w:p>
    <w:p w14:paraId="1AADEB9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无。</w:t>
      </w:r>
    </w:p>
    <w:p w14:paraId="512BE0F5">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b.招标文件未规定的，采取随机抽取方式确定，其他投标无效。</w:t>
      </w:r>
    </w:p>
    <w:p w14:paraId="6F0422B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采用综合评分法的，提供相同品牌产品且通过资格审查、符合性审查的不同投标人参加同一合同项下投标的，按一家投标人计算，评审后得分最高的同品牌投标人作为中标候选人推荐；评审得分相同的，由评标委员会按照下列方式确定一个投标人作为中标候选人推荐：</w:t>
      </w:r>
    </w:p>
    <w:p w14:paraId="0AF3988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a.招标文件规定的方式：</w:t>
      </w:r>
    </w:p>
    <w:p w14:paraId="02A1E85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投标人评标总得分（FA）且评标价（即价格扣除后的投标报价）相同的并列，则按技术项的得分从高到低排序推荐中标候选人；若以上全部相同则采取随机抽取方式确定。</w:t>
      </w:r>
    </w:p>
    <w:p w14:paraId="3C15ECD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b.招标文件未规定的，采取随机抽取方式确定，其他同品牌投标人不作为中标候选人。</w:t>
      </w:r>
    </w:p>
    <w:p w14:paraId="1BD08E9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③非单一产品采购项目，多家投标人提供的核心产品品牌相同的，按照本章第6.4条第（2）款第①、②规定处理。</w:t>
      </w:r>
    </w:p>
    <w:p w14:paraId="071410B9">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（3）漏（缺）项</w:t>
      </w:r>
    </w:p>
    <w:p w14:paraId="5E37E55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①招标文件中要求列入报价的费用（含配置、功能），漏（缺）项的报价视为已经包括在投标总价中。</w:t>
      </w:r>
    </w:p>
    <w:p w14:paraId="597613D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②对多报项及赠送项的价格评标时不予核减，全部进入评标价评议。</w:t>
      </w:r>
    </w:p>
    <w:p w14:paraId="554775E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6.5推荐中标候选人：详见本章第7.2条规定。</w:t>
      </w:r>
    </w:p>
    <w:p w14:paraId="1B696BA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6.6编写评标报告</w:t>
      </w:r>
    </w:p>
    <w:p w14:paraId="28DA373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（1）评标报告由评标委员会负责编写。</w:t>
      </w:r>
    </w:p>
    <w:p w14:paraId="749E28B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（2）评标报告应包括下列内容：</w:t>
      </w:r>
    </w:p>
    <w:p w14:paraId="2984F92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①招标公告刊登的媒体名称、开标日期和地点；</w:t>
      </w:r>
    </w:p>
    <w:p w14:paraId="4FE98467">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②投标人名单和评标委员会成员名单；</w:t>
      </w:r>
    </w:p>
    <w:p w14:paraId="050CB44F">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③评标方法和标准；</w:t>
      </w:r>
    </w:p>
    <w:p w14:paraId="2F8A6C46">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④开标记录和评标情况及说明，包括无效投标人名单及原因；</w:t>
      </w:r>
    </w:p>
    <w:p w14:paraId="5103B12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⑤评标结果，包括中标候选人名单或确定的中标人；</w:t>
      </w:r>
    </w:p>
    <w:p w14:paraId="10DBE04B">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⑥其他需要说明的情况，包括但不限于：评标过程中投标人的澄清、说明或补正，评委更换等。</w:t>
      </w:r>
    </w:p>
    <w:p w14:paraId="6EC5082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6.7评标委员会认为投标人的报价明显低于其他通过符合性审查投标人的报价，有可能影响产品质量或不能诚信履约的，应要求其在评标现场合理的时间内提供书面说明，必要时还应要求其一并提交有关证明材料；投标人不能证明其报价合理性的，评标委员会应将其作为投标无效处理。</w:t>
      </w:r>
    </w:p>
    <w:p w14:paraId="25CD217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6.8评委对需要共同认定的事项存在争议的，应按照少数服从多数的原则进行认定。持不同意见的评委应在评标报告上签署不同意见及理由，否则视为同意评标报告。</w:t>
      </w:r>
    </w:p>
    <w:p w14:paraId="5017248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6.9在评标过程中发现投标人有下列情形之一的，评标委员会应认定其投标无效，并书面报告本项目监督管理部门：</w:t>
      </w:r>
    </w:p>
    <w:p w14:paraId="03E0A84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（1）恶意串通（包括但不限于招标文件第三章第9.7条规定情形）；</w:t>
      </w:r>
    </w:p>
    <w:p w14:paraId="1297447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（2）妨碍其他投标人的竞争行为；</w:t>
      </w:r>
    </w:p>
    <w:p w14:paraId="57491EB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（3）损害采购人或其他投标人的合法权益。</w:t>
      </w:r>
    </w:p>
    <w:p w14:paraId="621E1A83">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6.10评标过程中，有下列情形之一的，应予废标：</w:t>
      </w:r>
    </w:p>
    <w:p w14:paraId="04E8281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（1）符合性审查合格的投标人不足三家的；</w:t>
      </w:r>
    </w:p>
    <w:p w14:paraId="5487258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（2）有关法律、法规和规章规定废标的情形。</w:t>
      </w:r>
    </w:p>
    <w:p w14:paraId="0B285BC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※若废标，则本次采购活动结束， 福建榕卫招标有限公司 将依法组织后续采购活动（包括但不限于：重新招标、采用其他方式采购等）。</w:t>
      </w:r>
    </w:p>
    <w:p w14:paraId="4055DED0">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7、评标方法和标准</w:t>
      </w:r>
    </w:p>
    <w:p w14:paraId="43A9B6F4">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7.1评标方法：</w:t>
      </w:r>
    </w:p>
    <w:p w14:paraId="53BCA25D">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采购包1：综合评分法</w:t>
      </w:r>
    </w:p>
    <w:p w14:paraId="2CBBBE9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7.2评标标准</w:t>
      </w:r>
    </w:p>
    <w:p w14:paraId="2825352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采购包1：综合评分法</w:t>
      </w:r>
    </w:p>
    <w:p w14:paraId="75DB9738">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（1）投标文件满足招标文件全部实质性要求，且按照评审因素的量化指标评审得分（即评标总得分）最高的投标人为中标候选人。</w:t>
      </w:r>
    </w:p>
    <w:p w14:paraId="74EAE227">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（2）每个投标人的评标总得分FA＝F1×A1＋F2×A2＋F3×A3 ，其中：F1指价格项评审因素得分、F2指技术项评审因素得分、F3指商务项评审因素得分，A1指价格项评审因素所占的权重、A2指技术项评审因素所占的权重、A3指商务项评审因素所占的权重，A1+A2+A3=1、F1×A1＋F2×A2＋F3×A3=100分（满分时） 。</w:t>
      </w:r>
    </w:p>
    <w:p w14:paraId="1D6A7E3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各项评审因素的设置如下：</w:t>
      </w:r>
    </w:p>
    <w:p w14:paraId="3CE50AAD">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rPr>
        <w:t>价格项（F1×A1）满</w:t>
      </w:r>
      <w:r>
        <w:rPr>
          <w:rFonts w:hint="eastAsia" w:ascii="宋体" w:hAnsi="宋体" w:eastAsia="宋体" w:cs="宋体"/>
          <w:sz w:val="24"/>
          <w:szCs w:val="24"/>
          <w:highlight w:val="none"/>
        </w:rPr>
        <w:t>分为</w:t>
      </w:r>
      <w:r>
        <w:rPr>
          <w:rFonts w:hint="eastAsia" w:ascii="宋体" w:hAnsi="宋体" w:eastAsia="宋体" w:cs="宋体"/>
          <w:sz w:val="24"/>
          <w:szCs w:val="24"/>
          <w:highlight w:val="none"/>
          <w:lang w:val="en-US" w:eastAsia="zh-CN"/>
        </w:rPr>
        <w:t>12</w:t>
      </w:r>
      <w:r>
        <w:rPr>
          <w:rFonts w:hint="eastAsia" w:ascii="宋体" w:hAnsi="宋体" w:eastAsia="宋体" w:cs="宋体"/>
          <w:sz w:val="24"/>
          <w:szCs w:val="24"/>
          <w:highlight w:val="none"/>
        </w:rPr>
        <w:t>.0000分</w:t>
      </w:r>
    </w:p>
    <w:p w14:paraId="3D545E4D">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满足招标文件要求且报价最低的为评审基准价，价格得分=（评审基准价/报价）×标准分值</w:t>
      </w:r>
    </w:p>
    <w:p w14:paraId="0D05A154">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价格扣除的规则如下：</w:t>
      </w:r>
    </w:p>
    <w:tbl>
      <w:tblPr>
        <w:tblStyle w:val="8"/>
        <w:tblW w:w="4996"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822"/>
        <w:gridCol w:w="1334"/>
        <w:gridCol w:w="964"/>
        <w:gridCol w:w="5115"/>
      </w:tblGrid>
      <w:tr w14:paraId="2F6BA1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6" w:type="pct"/>
          </w:tcPr>
          <w:p w14:paraId="790D15FA">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项目</w:t>
            </w:r>
          </w:p>
        </w:tc>
        <w:tc>
          <w:tcPr>
            <w:tcW w:w="722" w:type="pct"/>
          </w:tcPr>
          <w:p w14:paraId="20BE0D84">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适用对象</w:t>
            </w:r>
          </w:p>
        </w:tc>
        <w:tc>
          <w:tcPr>
            <w:tcW w:w="521" w:type="pct"/>
          </w:tcPr>
          <w:p w14:paraId="1F8E0269">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比例</w:t>
            </w:r>
          </w:p>
        </w:tc>
        <w:tc>
          <w:tcPr>
            <w:tcW w:w="2769" w:type="pct"/>
          </w:tcPr>
          <w:p w14:paraId="295D477E">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 xml:space="preserve"> 描述</w:t>
            </w:r>
          </w:p>
        </w:tc>
      </w:tr>
    </w:tbl>
    <w:p w14:paraId="005A6964">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其他：无</w:t>
      </w:r>
    </w:p>
    <w:p w14:paraId="46C48FF5">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技术项（F2×A2）满分为</w:t>
      </w:r>
      <w:r>
        <w:rPr>
          <w:rFonts w:hint="eastAsia" w:ascii="宋体" w:hAnsi="宋体" w:eastAsia="宋体" w:cs="宋体"/>
          <w:sz w:val="24"/>
          <w:szCs w:val="24"/>
          <w:lang w:val="en-US" w:eastAsia="zh-CN"/>
        </w:rPr>
        <w:t>73</w:t>
      </w:r>
      <w:r>
        <w:rPr>
          <w:rFonts w:hint="eastAsia" w:ascii="宋体" w:hAnsi="宋体" w:eastAsia="宋体" w:cs="宋体"/>
          <w:sz w:val="24"/>
          <w:szCs w:val="24"/>
        </w:rPr>
        <w:t>.0000分</w:t>
      </w:r>
    </w:p>
    <w:tbl>
      <w:tblPr>
        <w:tblStyle w:val="8"/>
        <w:tblW w:w="5074" w:type="pct"/>
        <w:tblInd w:w="0" w:type="dxa"/>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Layout w:type="autofit"/>
        <w:tblCellMar>
          <w:top w:w="0" w:type="dxa"/>
          <w:left w:w="0" w:type="dxa"/>
          <w:bottom w:w="0" w:type="dxa"/>
          <w:right w:w="0" w:type="dxa"/>
        </w:tblCellMar>
      </w:tblPr>
      <w:tblGrid>
        <w:gridCol w:w="1163"/>
        <w:gridCol w:w="676"/>
        <w:gridCol w:w="7337"/>
      </w:tblGrid>
      <w:tr w14:paraId="7BB6E117">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551D38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highlight w:val="none"/>
              </w:rPr>
            </w:pPr>
            <w:r>
              <w:rPr>
                <w:rFonts w:hint="eastAsia" w:ascii="宋体" w:hAnsi="宋体" w:eastAsia="宋体" w:cs="宋体"/>
                <w:color w:val="auto"/>
                <w:kern w:val="0"/>
                <w:sz w:val="24"/>
                <w:szCs w:val="24"/>
                <w:highlight w:val="none"/>
                <w:lang w:val="en-US" w:eastAsia="zh-CN" w:bidi="ar"/>
              </w:rPr>
              <w:t>评标项目</w:t>
            </w: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31CABD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highlight w:val="none"/>
              </w:rPr>
            </w:pPr>
            <w:r>
              <w:rPr>
                <w:rFonts w:hint="eastAsia" w:ascii="宋体" w:hAnsi="宋体" w:eastAsia="宋体" w:cs="宋体"/>
                <w:color w:val="auto"/>
                <w:kern w:val="0"/>
                <w:sz w:val="24"/>
                <w:szCs w:val="24"/>
                <w:highlight w:val="none"/>
                <w:lang w:val="en-US" w:eastAsia="zh-CN" w:bidi="ar"/>
              </w:rPr>
              <w:t>评标分值</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4E4BC0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highlight w:val="none"/>
              </w:rPr>
            </w:pPr>
            <w:r>
              <w:rPr>
                <w:rFonts w:hint="eastAsia" w:ascii="宋体" w:hAnsi="宋体" w:eastAsia="宋体" w:cs="宋体"/>
                <w:color w:val="auto"/>
                <w:kern w:val="0"/>
                <w:sz w:val="24"/>
                <w:szCs w:val="24"/>
                <w:highlight w:val="none"/>
                <w:lang w:val="en-US" w:eastAsia="zh-CN" w:bidi="ar"/>
              </w:rPr>
              <w:t>评标方法描述</w:t>
            </w:r>
          </w:p>
        </w:tc>
      </w:tr>
      <w:tr w14:paraId="5BCC95CF">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rHeight w:val="3939" w:hRule="atLeast"/>
          <w:tblHeader/>
        </w:trPr>
        <w:tc>
          <w:tcPr>
            <w:tcW w:w="634"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7F99923F">
            <w:pPr>
              <w:pStyle w:val="11"/>
              <w:keepNext w:val="0"/>
              <w:keepLines w:val="0"/>
              <w:pageBreakBefore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技术和服务要求响应情况</w:t>
            </w: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6A1E1B99">
            <w:pPr>
              <w:keepNext w:val="0"/>
              <w:keepLines w:val="0"/>
              <w:pageBreakBefore w:val="0"/>
              <w:widowControl/>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24.00</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073A5C4B">
            <w:pPr>
              <w:pStyle w:val="11"/>
              <w:keepNext w:val="0"/>
              <w:keepLines w:val="0"/>
              <w:pageBreakBefore w:val="0"/>
              <w:kinsoku/>
              <w:wordWrap/>
              <w:overflowPunct/>
              <w:topLinePunct w:val="0"/>
              <w:autoSpaceDE/>
              <w:autoSpaceDN/>
              <w:bidi w:val="0"/>
              <w:adjustRightInd/>
              <w:snapToGrid/>
              <w:spacing w:beforeAutospacing="0" w:afterAutospacing="0" w:line="360" w:lineRule="auto"/>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b w:val="0"/>
                <w:bCs w:val="0"/>
                <w:color w:val="auto"/>
                <w:sz w:val="24"/>
                <w:szCs w:val="24"/>
                <w:highlight w:val="none"/>
              </w:rPr>
              <w:t>根据</w:t>
            </w:r>
            <w:r>
              <w:rPr>
                <w:rFonts w:hint="eastAsia" w:ascii="宋体" w:hAnsi="宋体" w:eastAsia="宋体" w:cs="宋体"/>
                <w:b w:val="0"/>
                <w:bCs w:val="0"/>
                <w:color w:val="auto"/>
                <w:sz w:val="24"/>
                <w:szCs w:val="24"/>
                <w:highlight w:val="none"/>
                <w:lang w:val="en-US" w:eastAsia="zh-CN"/>
              </w:rPr>
              <w:t>投标人</w:t>
            </w:r>
            <w:r>
              <w:rPr>
                <w:rFonts w:hint="eastAsia" w:ascii="宋体" w:hAnsi="宋体" w:eastAsia="宋体" w:cs="宋体"/>
                <w:b w:val="0"/>
                <w:bCs w:val="0"/>
                <w:color w:val="auto"/>
                <w:sz w:val="24"/>
                <w:szCs w:val="24"/>
                <w:highlight w:val="none"/>
              </w:rPr>
              <w:t>对</w:t>
            </w:r>
            <w:r>
              <w:rPr>
                <w:rFonts w:hint="eastAsia" w:ascii="宋体" w:hAnsi="宋体" w:eastAsia="宋体" w:cs="宋体"/>
                <w:b w:val="0"/>
                <w:bCs w:val="0"/>
                <w:color w:val="auto"/>
                <w:sz w:val="24"/>
                <w:szCs w:val="24"/>
                <w:highlight w:val="none"/>
                <w:lang w:val="en-US" w:eastAsia="zh-CN"/>
              </w:rPr>
              <w:t>招标</w:t>
            </w:r>
            <w:r>
              <w:rPr>
                <w:rFonts w:hint="eastAsia" w:ascii="宋体" w:hAnsi="宋体" w:eastAsia="宋体" w:cs="宋体"/>
                <w:b w:val="0"/>
                <w:bCs w:val="0"/>
                <w:color w:val="auto"/>
                <w:sz w:val="24"/>
                <w:szCs w:val="24"/>
                <w:highlight w:val="none"/>
              </w:rPr>
              <w:t>文件</w:t>
            </w:r>
            <w:r>
              <w:rPr>
                <w:rFonts w:hint="eastAsia" w:ascii="宋体" w:hAnsi="宋体" w:eastAsia="宋体" w:cs="宋体"/>
                <w:b w:val="0"/>
                <w:bCs w:val="0"/>
                <w:color w:val="auto"/>
                <w:sz w:val="24"/>
                <w:szCs w:val="24"/>
                <w:highlight w:val="none"/>
                <w:lang w:eastAsia="zh-CN"/>
              </w:rPr>
              <w:t>“第</w:t>
            </w:r>
            <w:r>
              <w:rPr>
                <w:rFonts w:hint="eastAsia" w:ascii="宋体" w:hAnsi="宋体" w:eastAsia="宋体" w:cs="宋体"/>
                <w:b w:val="0"/>
                <w:bCs w:val="0"/>
                <w:color w:val="auto"/>
                <w:sz w:val="24"/>
                <w:szCs w:val="24"/>
                <w:highlight w:val="none"/>
                <w:lang w:val="en-US" w:eastAsia="zh-CN"/>
              </w:rPr>
              <w:t>五</w:t>
            </w:r>
            <w:r>
              <w:rPr>
                <w:rFonts w:hint="eastAsia" w:ascii="宋体" w:hAnsi="宋体" w:eastAsia="宋体" w:cs="宋体"/>
                <w:b w:val="0"/>
                <w:bCs w:val="0"/>
                <w:color w:val="auto"/>
                <w:sz w:val="24"/>
                <w:szCs w:val="24"/>
                <w:highlight w:val="none"/>
                <w:lang w:eastAsia="zh-CN"/>
              </w:rPr>
              <w:t>章招标内容及要求：</w:t>
            </w:r>
            <w:r>
              <w:rPr>
                <w:rFonts w:hint="eastAsia" w:ascii="宋体" w:hAnsi="宋体" w:eastAsia="宋体" w:cs="宋体"/>
                <w:b w:val="0"/>
                <w:bCs w:val="0"/>
                <w:color w:val="auto"/>
                <w:sz w:val="24"/>
                <w:szCs w:val="24"/>
                <w:highlight w:val="none"/>
              </w:rPr>
              <w:t>二、</w:t>
            </w:r>
            <w:r>
              <w:rPr>
                <w:rFonts w:hint="eastAsia" w:ascii="宋体" w:hAnsi="宋体" w:eastAsia="宋体" w:cs="宋体"/>
                <w:color w:val="auto"/>
                <w:spacing w:val="0"/>
                <w:sz w:val="24"/>
                <w:szCs w:val="24"/>
                <w:highlight w:val="none"/>
              </w:rPr>
              <w:t>技术和服务要求</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的逐项响应情况进行评分，完全满足</w:t>
            </w:r>
            <w:r>
              <w:rPr>
                <w:rFonts w:hint="eastAsia" w:ascii="宋体" w:hAnsi="宋体" w:eastAsia="宋体" w:cs="宋体"/>
                <w:b w:val="0"/>
                <w:bCs w:val="0"/>
                <w:color w:val="auto"/>
                <w:sz w:val="24"/>
                <w:szCs w:val="24"/>
                <w:highlight w:val="none"/>
                <w:lang w:val="en-US" w:eastAsia="zh-CN"/>
              </w:rPr>
              <w:t>招标</w:t>
            </w:r>
            <w:r>
              <w:rPr>
                <w:rFonts w:hint="eastAsia" w:ascii="宋体" w:hAnsi="宋体" w:eastAsia="宋体" w:cs="宋体"/>
                <w:b w:val="0"/>
                <w:bCs w:val="0"/>
                <w:color w:val="auto"/>
                <w:sz w:val="24"/>
                <w:szCs w:val="24"/>
                <w:highlight w:val="none"/>
              </w:rPr>
              <w:t>文件要求的得</w:t>
            </w:r>
            <w:r>
              <w:rPr>
                <w:rFonts w:hint="eastAsia" w:ascii="宋体" w:hAnsi="宋体" w:eastAsia="宋体" w:cs="宋体"/>
                <w:b w:val="0"/>
                <w:bCs w:val="0"/>
                <w:color w:val="auto"/>
                <w:sz w:val="24"/>
                <w:szCs w:val="24"/>
                <w:highlight w:val="none"/>
                <w:lang w:val="en-US" w:eastAsia="zh-CN"/>
              </w:rPr>
              <w:t>24分；①以“★”标示的内容为不允许负偏离的实质性要求，若负偏离则投标无效。</w:t>
            </w:r>
            <w:r>
              <w:rPr>
                <w:rFonts w:hint="default" w:ascii="宋体" w:hAnsi="宋体" w:eastAsia="宋体" w:cs="宋体"/>
                <w:b w:val="0"/>
                <w:bCs w:val="0"/>
                <w:color w:val="auto"/>
                <w:sz w:val="24"/>
                <w:szCs w:val="24"/>
                <w:highlight w:val="none"/>
                <w:lang w:val="en-US" w:eastAsia="zh-CN"/>
              </w:rPr>
              <w:t>②</w:t>
            </w:r>
            <w:r>
              <w:rPr>
                <w:rFonts w:hint="eastAsia" w:ascii="宋体" w:hAnsi="宋体" w:eastAsia="宋体" w:cs="宋体"/>
                <w:color w:val="auto"/>
                <w:spacing w:val="0"/>
                <w:sz w:val="24"/>
                <w:szCs w:val="24"/>
                <w:highlight w:val="none"/>
              </w:rPr>
              <w:t>技术和服务要求</w:t>
            </w:r>
            <w:r>
              <w:rPr>
                <w:rFonts w:hint="eastAsia" w:ascii="宋体" w:hAnsi="宋体" w:eastAsia="宋体" w:cs="宋体"/>
                <w:b w:val="0"/>
                <w:bCs w:val="0"/>
                <w:color w:val="auto"/>
                <w:sz w:val="24"/>
                <w:szCs w:val="24"/>
                <w:highlight w:val="none"/>
                <w:lang w:val="en-US" w:eastAsia="zh-CN"/>
              </w:rPr>
              <w:t>中未标注“★”评审指标合计24项，正偏离不加分，每负偏离一项扣1分；（ 注：“</w:t>
            </w:r>
            <w:r>
              <w:rPr>
                <w:rFonts w:hint="eastAsia" w:ascii="宋体" w:hAnsi="宋体" w:eastAsia="宋体" w:cs="宋体"/>
                <w:b w:val="0"/>
                <w:bCs w:val="0"/>
                <w:color w:val="auto"/>
                <w:sz w:val="24"/>
                <w:szCs w:val="24"/>
                <w:highlight w:val="none"/>
                <w:lang w:eastAsia="zh-CN"/>
              </w:rPr>
              <w:t>第</w:t>
            </w:r>
            <w:r>
              <w:rPr>
                <w:rFonts w:hint="eastAsia" w:ascii="宋体" w:hAnsi="宋体" w:eastAsia="宋体" w:cs="宋体"/>
                <w:b w:val="0"/>
                <w:bCs w:val="0"/>
                <w:color w:val="auto"/>
                <w:sz w:val="24"/>
                <w:szCs w:val="24"/>
                <w:highlight w:val="none"/>
                <w:lang w:val="en-US" w:eastAsia="zh-CN"/>
              </w:rPr>
              <w:t>五</w:t>
            </w:r>
            <w:r>
              <w:rPr>
                <w:rFonts w:hint="eastAsia" w:ascii="宋体" w:hAnsi="宋体" w:eastAsia="宋体" w:cs="宋体"/>
                <w:b w:val="0"/>
                <w:bCs w:val="0"/>
                <w:color w:val="auto"/>
                <w:sz w:val="24"/>
                <w:szCs w:val="24"/>
                <w:highlight w:val="none"/>
                <w:lang w:eastAsia="zh-CN"/>
              </w:rPr>
              <w:t>章招标内容及要求：</w:t>
            </w:r>
            <w:r>
              <w:rPr>
                <w:rFonts w:hint="eastAsia" w:ascii="宋体" w:hAnsi="宋体" w:eastAsia="宋体" w:cs="宋体"/>
                <w:b w:val="0"/>
                <w:bCs w:val="0"/>
                <w:color w:val="auto"/>
                <w:sz w:val="24"/>
                <w:szCs w:val="24"/>
                <w:highlight w:val="none"/>
              </w:rPr>
              <w:t>二、</w:t>
            </w:r>
            <w:r>
              <w:rPr>
                <w:rFonts w:hint="eastAsia" w:ascii="宋体" w:hAnsi="宋体" w:eastAsia="宋体" w:cs="宋体"/>
                <w:color w:val="auto"/>
                <w:spacing w:val="0"/>
                <w:sz w:val="24"/>
                <w:szCs w:val="24"/>
                <w:highlight w:val="none"/>
              </w:rPr>
              <w:t>技术和服务要求</w:t>
            </w:r>
            <w:r>
              <w:rPr>
                <w:rFonts w:hint="eastAsia" w:ascii="宋体" w:hAnsi="宋体" w:eastAsia="宋体" w:cs="宋体"/>
                <w:b w:val="0"/>
                <w:bCs w:val="0"/>
                <w:color w:val="auto"/>
                <w:sz w:val="24"/>
                <w:szCs w:val="24"/>
                <w:highlight w:val="none"/>
                <w:lang w:val="en-US" w:eastAsia="zh-CN"/>
              </w:rPr>
              <w:t>”中若需要提供证明材料的，投标人</w:t>
            </w:r>
            <w:r>
              <w:rPr>
                <w:rFonts w:hint="eastAsia" w:ascii="宋体" w:hAnsi="宋体" w:eastAsia="宋体" w:cs="宋体"/>
                <w:b w:val="0"/>
                <w:bCs w:val="0"/>
                <w:color w:val="auto"/>
                <w:sz w:val="24"/>
                <w:szCs w:val="24"/>
                <w:highlight w:val="none"/>
              </w:rPr>
              <w:t>响应内容与证明材料需一致，若不一致以不利于</w:t>
            </w:r>
            <w:r>
              <w:rPr>
                <w:rFonts w:hint="eastAsia" w:ascii="宋体" w:hAnsi="宋体" w:eastAsia="宋体" w:cs="宋体"/>
                <w:b w:val="0"/>
                <w:bCs w:val="0"/>
                <w:color w:val="auto"/>
                <w:sz w:val="24"/>
                <w:szCs w:val="24"/>
                <w:highlight w:val="none"/>
                <w:lang w:val="en-US" w:eastAsia="zh-CN"/>
              </w:rPr>
              <w:t>投标人</w:t>
            </w:r>
            <w:r>
              <w:rPr>
                <w:rFonts w:hint="eastAsia" w:ascii="宋体" w:hAnsi="宋体" w:eastAsia="宋体" w:cs="宋体"/>
                <w:b w:val="0"/>
                <w:bCs w:val="0"/>
                <w:color w:val="auto"/>
                <w:sz w:val="24"/>
                <w:szCs w:val="24"/>
                <w:highlight w:val="none"/>
              </w:rPr>
              <w:t>的内容进行评审，未要求提供证明材料的以技术和服务要求响应表的响应情况进行评审。）</w:t>
            </w:r>
          </w:p>
        </w:tc>
      </w:tr>
      <w:tr w14:paraId="07235BF4">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rHeight w:val="2490" w:hRule="atLeast"/>
          <w:tblHeader/>
        </w:trPr>
        <w:tc>
          <w:tcPr>
            <w:tcW w:w="63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79CB306F">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服务方案1.</w:t>
            </w:r>
            <w:r>
              <w:rPr>
                <w:rFonts w:hint="eastAsia" w:ascii="宋体" w:hAnsi="宋体" w:eastAsia="宋体" w:cs="宋体"/>
                <w:color w:val="auto"/>
                <w:sz w:val="24"/>
                <w:szCs w:val="24"/>
                <w:highlight w:val="none"/>
              </w:rPr>
              <w:t>总体运维管理方案</w:t>
            </w: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2C2DF7F5">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47EAA481">
            <w:pPr>
              <w:pStyle w:val="11"/>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根据投标人提供的总体运维管理思路方案进行评分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方案</w:t>
            </w:r>
            <w:r>
              <w:rPr>
                <w:rFonts w:hint="eastAsia" w:ascii="宋体" w:hAnsi="宋体" w:eastAsia="宋体" w:cs="宋体"/>
                <w:color w:val="auto"/>
                <w:sz w:val="24"/>
                <w:szCs w:val="24"/>
                <w:highlight w:val="none"/>
                <w:lang w:val="en-US" w:eastAsia="zh-CN"/>
              </w:rPr>
              <w:t>应至少包含但不限于下列6项作业内容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①</w:t>
            </w:r>
            <w:r>
              <w:rPr>
                <w:rFonts w:hint="eastAsia" w:ascii="宋体" w:hAnsi="宋体" w:eastAsia="宋体" w:cs="宋体"/>
                <w:color w:val="auto"/>
                <w:sz w:val="24"/>
                <w:szCs w:val="24"/>
                <w:highlight w:val="none"/>
              </w:rPr>
              <w:t>组织实施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②</w:t>
            </w:r>
            <w:r>
              <w:rPr>
                <w:rFonts w:hint="eastAsia" w:ascii="宋体" w:hAnsi="宋体" w:eastAsia="宋体" w:cs="宋体"/>
                <w:color w:val="auto"/>
                <w:sz w:val="24"/>
                <w:szCs w:val="24"/>
                <w:highlight w:val="none"/>
              </w:rPr>
              <w:t>冷链物流服务</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③</w:t>
            </w:r>
            <w:r>
              <w:rPr>
                <w:rFonts w:hint="eastAsia" w:ascii="宋体" w:hAnsi="宋体" w:eastAsia="宋体" w:cs="宋体"/>
                <w:i w:val="0"/>
                <w:iCs w:val="0"/>
                <w:color w:val="auto"/>
                <w:kern w:val="0"/>
                <w:sz w:val="24"/>
                <w:szCs w:val="24"/>
                <w:highlight w:val="none"/>
                <w:u w:val="none"/>
                <w:lang w:val="en-US" w:eastAsia="zh-CN" w:bidi="ar"/>
              </w:rPr>
              <w:t>专业技术能力说明；</w:t>
            </w:r>
            <w:r>
              <w:rPr>
                <w:rFonts w:hint="eastAsia" w:ascii="宋体" w:hAnsi="宋体" w:eastAsia="宋体" w:cs="宋体"/>
                <w:color w:val="auto"/>
                <w:kern w:val="0"/>
                <w:sz w:val="24"/>
                <w:szCs w:val="24"/>
                <w:highlight w:val="none"/>
                <w:lang w:val="en-US" w:eastAsia="zh-CN" w:bidi="ar"/>
              </w:rPr>
              <w:t>④人员</w:t>
            </w:r>
            <w:r>
              <w:rPr>
                <w:rFonts w:hint="eastAsia" w:ascii="宋体" w:hAnsi="宋体" w:eastAsia="宋体" w:cs="宋体"/>
                <w:i w:val="0"/>
                <w:iCs w:val="0"/>
                <w:color w:val="auto"/>
                <w:kern w:val="0"/>
                <w:sz w:val="24"/>
                <w:szCs w:val="24"/>
                <w:highlight w:val="none"/>
                <w:u w:val="none"/>
                <w:lang w:val="en-US" w:eastAsia="zh-CN" w:bidi="ar"/>
              </w:rPr>
              <w:t>管理、</w:t>
            </w:r>
            <w:r>
              <w:rPr>
                <w:rFonts w:hint="eastAsia" w:ascii="宋体" w:hAnsi="宋体" w:eastAsia="宋体" w:cs="宋体"/>
                <w:color w:val="auto"/>
                <w:kern w:val="0"/>
                <w:sz w:val="24"/>
                <w:szCs w:val="24"/>
                <w:highlight w:val="none"/>
                <w:lang w:val="en-US" w:eastAsia="zh-CN" w:bidi="ar"/>
              </w:rPr>
              <w:t>⑤</w:t>
            </w:r>
            <w:r>
              <w:rPr>
                <w:rFonts w:hint="eastAsia" w:ascii="宋体" w:hAnsi="宋体" w:eastAsia="宋体" w:cs="宋体"/>
                <w:i w:val="0"/>
                <w:iCs w:val="0"/>
                <w:color w:val="auto"/>
                <w:kern w:val="0"/>
                <w:sz w:val="24"/>
                <w:szCs w:val="24"/>
                <w:highlight w:val="none"/>
                <w:u w:val="none"/>
                <w:lang w:val="en-US" w:eastAsia="zh-CN" w:bidi="ar"/>
              </w:rPr>
              <w:t>响应时间、</w:t>
            </w:r>
            <w:r>
              <w:rPr>
                <w:rFonts w:hint="eastAsia" w:ascii="宋体" w:hAnsi="宋体" w:eastAsia="宋体" w:cs="宋体"/>
                <w:color w:val="auto"/>
                <w:sz w:val="24"/>
                <w:szCs w:val="24"/>
                <w:highlight w:val="none"/>
                <w:lang w:val="en-US" w:eastAsia="zh-CN"/>
              </w:rPr>
              <w:t>⑥</w:t>
            </w:r>
            <w:r>
              <w:rPr>
                <w:rFonts w:hint="eastAsia" w:ascii="宋体" w:hAnsi="宋体" w:eastAsia="宋体" w:cs="宋体"/>
                <w:color w:val="auto"/>
                <w:sz w:val="24"/>
                <w:szCs w:val="24"/>
                <w:highlight w:val="none"/>
              </w:rPr>
              <w:t>LIS系统</w:t>
            </w:r>
            <w:r>
              <w:rPr>
                <w:rFonts w:hint="eastAsia" w:ascii="宋体" w:hAnsi="宋体" w:eastAsia="宋体" w:cs="宋体"/>
                <w:color w:val="auto"/>
                <w:sz w:val="24"/>
                <w:szCs w:val="24"/>
                <w:highlight w:val="none"/>
                <w:lang w:val="en-US" w:eastAsia="zh-CN"/>
              </w:rPr>
              <w:t>等信息系统</w:t>
            </w:r>
            <w:r>
              <w:rPr>
                <w:rFonts w:hint="eastAsia" w:ascii="宋体" w:hAnsi="宋体" w:eastAsia="宋体" w:cs="宋体"/>
                <w:color w:val="auto"/>
                <w:sz w:val="24"/>
                <w:szCs w:val="24"/>
                <w:highlight w:val="none"/>
              </w:rPr>
              <w:t>对接方案</w:t>
            </w:r>
            <w:r>
              <w:rPr>
                <w:rFonts w:hint="eastAsia" w:ascii="宋体" w:hAnsi="宋体" w:eastAsia="宋体" w:cs="宋体"/>
                <w:color w:val="auto"/>
                <w:sz w:val="24"/>
                <w:szCs w:val="24"/>
                <w:highlight w:val="none"/>
                <w:lang w:val="en-US" w:eastAsia="zh-CN"/>
              </w:rPr>
              <w:t>等</w:t>
            </w:r>
            <w:r>
              <w:rPr>
                <w:rFonts w:hint="eastAsia" w:ascii="宋体" w:hAnsi="宋体" w:eastAsia="宋体" w:cs="宋体"/>
                <w:color w:val="auto"/>
                <w:sz w:val="24"/>
                <w:szCs w:val="24"/>
                <w:highlight w:val="none"/>
              </w:rPr>
              <w:t>）</w:t>
            </w:r>
            <w:r>
              <w:rPr>
                <w:rFonts w:hint="eastAsia" w:ascii="宋体" w:hAnsi="宋体" w:eastAsia="宋体" w:cs="宋体"/>
                <w:color w:val="auto"/>
                <w:kern w:val="0"/>
                <w:sz w:val="24"/>
                <w:szCs w:val="24"/>
                <w:highlight w:val="none"/>
                <w:lang w:val="en-US" w:eastAsia="zh-CN" w:bidi="ar"/>
              </w:rPr>
              <w:t>由评标委员会进行逐项评分：</w:t>
            </w:r>
            <w:r>
              <w:rPr>
                <w:rFonts w:hint="eastAsia" w:ascii="宋体" w:hAnsi="宋体" w:eastAsia="宋体" w:cs="宋体"/>
                <w:strike w:val="0"/>
                <w:dstrike w:val="0"/>
                <w:color w:val="auto"/>
                <w:kern w:val="0"/>
                <w:sz w:val="24"/>
                <w:szCs w:val="24"/>
                <w:highlight w:val="none"/>
                <w:lang w:val="en-US" w:eastAsia="zh-CN" w:bidi="ar"/>
              </w:rPr>
              <w:t>每提供一项完整的作业内容得0.5分，满分3分；未提供或提供的作业内容明显与本项目不符的不得分</w:t>
            </w:r>
            <w:r>
              <w:rPr>
                <w:rFonts w:hint="eastAsia" w:ascii="宋体" w:hAnsi="宋体" w:eastAsia="宋体" w:cs="宋体"/>
                <w:color w:val="auto"/>
                <w:sz w:val="24"/>
                <w:szCs w:val="24"/>
                <w:highlight w:val="none"/>
              </w:rPr>
              <w:t>。</w:t>
            </w:r>
          </w:p>
        </w:tc>
      </w:tr>
      <w:tr w14:paraId="43441BB5">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rHeight w:val="2703" w:hRule="atLeast"/>
          <w:tblHeader/>
        </w:trPr>
        <w:tc>
          <w:tcPr>
            <w:tcW w:w="634"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6ED1184E">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服务方案2.</w:t>
            </w:r>
            <w:r>
              <w:rPr>
                <w:rFonts w:hint="eastAsia" w:ascii="宋体" w:hAnsi="宋体" w:eastAsia="宋体" w:cs="宋体"/>
                <w:color w:val="auto"/>
                <w:sz w:val="24"/>
                <w:szCs w:val="24"/>
                <w:highlight w:val="none"/>
              </w:rPr>
              <w:t>物流服务方案</w:t>
            </w: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67103DE2">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.00</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top"/>
          </w:tcPr>
          <w:p w14:paraId="1936FC41">
            <w:pPr>
              <w:pStyle w:val="11"/>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rPr>
              <w:t>根据投标人针对本项目提供的物流服务方案（方案</w:t>
            </w:r>
            <w:r>
              <w:rPr>
                <w:rFonts w:hint="eastAsia" w:ascii="宋体" w:hAnsi="宋体" w:eastAsia="宋体" w:cs="宋体"/>
                <w:color w:val="auto"/>
                <w:sz w:val="24"/>
                <w:szCs w:val="24"/>
                <w:highlight w:val="none"/>
                <w:lang w:val="en-US" w:eastAsia="zh-CN"/>
              </w:rPr>
              <w:t>应至少包含但不限于下列3项作业内容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①</w:t>
            </w:r>
            <w:r>
              <w:rPr>
                <w:rFonts w:hint="eastAsia" w:ascii="宋体" w:hAnsi="宋体" w:eastAsia="宋体" w:cs="宋体"/>
                <w:color w:val="auto"/>
                <w:sz w:val="24"/>
                <w:szCs w:val="24"/>
                <w:highlight w:val="none"/>
                <w:lang w:val="en-US" w:eastAsia="zh-CN"/>
              </w:rPr>
              <w:t>为采购人下属</w:t>
            </w:r>
            <w:r>
              <w:rPr>
                <w:rFonts w:hint="eastAsia" w:ascii="宋体" w:hAnsi="宋体" w:eastAsia="宋体" w:cs="宋体"/>
                <w:color w:val="auto"/>
                <w:sz w:val="24"/>
                <w:szCs w:val="24"/>
                <w:highlight w:val="none"/>
              </w:rPr>
              <w:t>16家</w:t>
            </w:r>
            <w:r>
              <w:rPr>
                <w:rFonts w:hint="eastAsia" w:ascii="宋体" w:hAnsi="宋体" w:eastAsia="宋体" w:cs="宋体"/>
                <w:color w:val="auto"/>
                <w:sz w:val="24"/>
                <w:szCs w:val="24"/>
                <w:highlight w:val="none"/>
                <w:lang w:val="en-US" w:eastAsia="zh-CN"/>
              </w:rPr>
              <w:t>医联体</w:t>
            </w:r>
            <w:r>
              <w:rPr>
                <w:rFonts w:hint="eastAsia" w:ascii="宋体" w:hAnsi="宋体" w:eastAsia="宋体" w:cs="宋体"/>
                <w:color w:val="auto"/>
                <w:sz w:val="24"/>
                <w:szCs w:val="24"/>
                <w:highlight w:val="none"/>
              </w:rPr>
              <w:t>卫生院都提供服务标本接收点</w:t>
            </w:r>
            <w:r>
              <w:rPr>
                <w:rFonts w:hint="eastAsia" w:ascii="宋体" w:hAnsi="宋体" w:eastAsia="宋体" w:cs="宋体"/>
                <w:color w:val="auto"/>
                <w:sz w:val="24"/>
                <w:szCs w:val="24"/>
                <w:highlight w:val="none"/>
                <w:lang w:val="en-US" w:eastAsia="zh-CN"/>
              </w:rPr>
              <w:t>的实施承诺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②</w:t>
            </w:r>
            <w:r>
              <w:rPr>
                <w:rFonts w:hint="eastAsia" w:ascii="宋体" w:hAnsi="宋体" w:eastAsia="宋体" w:cs="宋体"/>
                <w:color w:val="auto"/>
                <w:sz w:val="24"/>
                <w:szCs w:val="24"/>
                <w:highlight w:val="none"/>
                <w:lang w:val="en-US" w:eastAsia="zh-CN"/>
              </w:rPr>
              <w:t>设计区域样本接收路线；</w:t>
            </w:r>
            <w:r>
              <w:rPr>
                <w:rFonts w:hint="eastAsia" w:ascii="宋体" w:hAnsi="宋体" w:eastAsia="宋体" w:cs="宋体"/>
                <w:color w:val="auto"/>
                <w:kern w:val="0"/>
                <w:sz w:val="24"/>
                <w:szCs w:val="24"/>
                <w:highlight w:val="none"/>
                <w:lang w:val="en-US" w:eastAsia="zh-CN" w:bidi="ar"/>
              </w:rPr>
              <w:t>③拟投入的物流服务</w:t>
            </w:r>
            <w:r>
              <w:rPr>
                <w:rFonts w:hint="eastAsia" w:ascii="宋体" w:hAnsi="宋体" w:eastAsia="宋体" w:cs="宋体"/>
                <w:color w:val="auto"/>
                <w:sz w:val="24"/>
                <w:szCs w:val="24"/>
                <w:highlight w:val="none"/>
                <w:lang w:val="en-US" w:eastAsia="zh-CN"/>
              </w:rPr>
              <w:t>人员、物流硬件设施情况等</w:t>
            </w:r>
            <w:r>
              <w:rPr>
                <w:rFonts w:hint="eastAsia" w:ascii="宋体" w:hAnsi="宋体" w:eastAsia="宋体" w:cs="宋体"/>
                <w:color w:val="auto"/>
                <w:sz w:val="24"/>
                <w:szCs w:val="24"/>
                <w:highlight w:val="none"/>
              </w:rPr>
              <w:t>）</w:t>
            </w:r>
            <w:r>
              <w:rPr>
                <w:rFonts w:hint="eastAsia" w:ascii="宋体" w:hAnsi="宋体" w:eastAsia="宋体" w:cs="宋体"/>
                <w:color w:val="auto"/>
                <w:kern w:val="0"/>
                <w:sz w:val="24"/>
                <w:szCs w:val="24"/>
                <w:highlight w:val="none"/>
                <w:lang w:val="en-US" w:eastAsia="zh-CN" w:bidi="ar"/>
              </w:rPr>
              <w:t>由评标委员会进行逐项评分：</w:t>
            </w:r>
            <w:r>
              <w:rPr>
                <w:rFonts w:hint="eastAsia" w:ascii="宋体" w:hAnsi="宋体" w:eastAsia="宋体" w:cs="宋体"/>
                <w:strike w:val="0"/>
                <w:dstrike w:val="0"/>
                <w:color w:val="auto"/>
                <w:kern w:val="0"/>
                <w:sz w:val="24"/>
                <w:szCs w:val="24"/>
                <w:highlight w:val="none"/>
                <w:lang w:val="en-US" w:eastAsia="zh-CN" w:bidi="ar"/>
              </w:rPr>
              <w:t>每提供一项完整的作业内容得1分，满分3分；未提供或提供的作业内容明显与本项目不符的不得分</w:t>
            </w:r>
            <w:r>
              <w:rPr>
                <w:rFonts w:hint="eastAsia" w:ascii="宋体" w:hAnsi="宋体" w:eastAsia="宋体" w:cs="宋体"/>
                <w:color w:val="auto"/>
                <w:sz w:val="24"/>
                <w:szCs w:val="24"/>
                <w:highlight w:val="none"/>
              </w:rPr>
              <w:t>。</w:t>
            </w:r>
          </w:p>
        </w:tc>
      </w:tr>
      <w:tr w14:paraId="568189BF">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rHeight w:val="2565" w:hRule="atLeast"/>
          <w:tblHeader/>
        </w:trPr>
        <w:tc>
          <w:tcPr>
            <w:tcW w:w="634"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4F1333E4">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服务方案3.</w:t>
            </w:r>
            <w:r>
              <w:rPr>
                <w:rFonts w:hint="eastAsia" w:ascii="宋体" w:hAnsi="宋体" w:eastAsia="宋体" w:cs="宋体"/>
                <w:color w:val="auto"/>
                <w:sz w:val="24"/>
                <w:szCs w:val="24"/>
                <w:highlight w:val="none"/>
              </w:rPr>
              <w:t>实验室检测和质量服务方案</w:t>
            </w: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27E245F1">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.00</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top"/>
          </w:tcPr>
          <w:p w14:paraId="432FF27C">
            <w:pPr>
              <w:pStyle w:val="11"/>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rPr>
              <w:t>根据投标人针对本项目提供的实验室检测和质量服务方案（方案</w:t>
            </w:r>
            <w:r>
              <w:rPr>
                <w:rFonts w:hint="eastAsia" w:ascii="宋体" w:hAnsi="宋体" w:eastAsia="宋体" w:cs="宋体"/>
                <w:color w:val="auto"/>
                <w:sz w:val="24"/>
                <w:szCs w:val="24"/>
                <w:highlight w:val="none"/>
                <w:lang w:val="en-US" w:eastAsia="zh-CN"/>
              </w:rPr>
              <w:t>应至少包含但不限于下列3项作业内容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①</w:t>
            </w:r>
            <w:r>
              <w:rPr>
                <w:rFonts w:hint="eastAsia" w:ascii="宋体" w:hAnsi="宋体" w:eastAsia="宋体" w:cs="宋体"/>
                <w:color w:val="auto"/>
                <w:sz w:val="24"/>
                <w:szCs w:val="24"/>
                <w:highlight w:val="none"/>
              </w:rPr>
              <w:t>检测能力</w:t>
            </w:r>
            <w:r>
              <w:rPr>
                <w:rFonts w:hint="eastAsia" w:ascii="宋体" w:hAnsi="宋体" w:eastAsia="宋体" w:cs="宋体"/>
                <w:color w:val="auto"/>
                <w:sz w:val="24"/>
                <w:szCs w:val="24"/>
                <w:highlight w:val="none"/>
                <w:lang w:val="en-US" w:eastAsia="zh-CN"/>
              </w:rPr>
              <w:t>说明</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②</w:t>
            </w:r>
            <w:r>
              <w:rPr>
                <w:rFonts w:hint="eastAsia" w:ascii="宋体" w:hAnsi="宋体" w:eastAsia="宋体" w:cs="宋体"/>
                <w:color w:val="auto"/>
                <w:sz w:val="24"/>
                <w:szCs w:val="24"/>
                <w:highlight w:val="none"/>
              </w:rPr>
              <w:t>检测标准（流程、内容）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③</w:t>
            </w:r>
            <w:r>
              <w:rPr>
                <w:rFonts w:hint="eastAsia" w:ascii="宋体" w:hAnsi="宋体" w:eastAsia="宋体" w:cs="宋体"/>
                <w:color w:val="auto"/>
                <w:sz w:val="24"/>
                <w:szCs w:val="24"/>
                <w:highlight w:val="none"/>
              </w:rPr>
              <w:t>质量保障</w:t>
            </w:r>
            <w:r>
              <w:rPr>
                <w:rFonts w:hint="eastAsia" w:ascii="宋体" w:hAnsi="宋体" w:eastAsia="宋体" w:cs="宋体"/>
                <w:color w:val="auto"/>
                <w:sz w:val="24"/>
                <w:szCs w:val="24"/>
                <w:highlight w:val="none"/>
                <w:lang w:val="en-US" w:eastAsia="zh-CN"/>
              </w:rPr>
              <w:t>措施等；</w:t>
            </w:r>
            <w:r>
              <w:rPr>
                <w:rFonts w:hint="eastAsia" w:ascii="宋体" w:hAnsi="宋体" w:eastAsia="宋体" w:cs="宋体"/>
                <w:color w:val="auto"/>
                <w:sz w:val="24"/>
                <w:szCs w:val="24"/>
                <w:highlight w:val="none"/>
              </w:rPr>
              <w:t>）</w:t>
            </w:r>
            <w:r>
              <w:rPr>
                <w:rFonts w:hint="eastAsia" w:ascii="宋体" w:hAnsi="宋体" w:eastAsia="宋体" w:cs="宋体"/>
                <w:color w:val="auto"/>
                <w:kern w:val="0"/>
                <w:sz w:val="24"/>
                <w:szCs w:val="24"/>
                <w:highlight w:val="none"/>
                <w:lang w:val="en-US" w:eastAsia="zh-CN" w:bidi="ar"/>
              </w:rPr>
              <w:t>由评标委员会进行逐项评分：</w:t>
            </w:r>
            <w:r>
              <w:rPr>
                <w:rFonts w:hint="eastAsia" w:ascii="宋体" w:hAnsi="宋体" w:eastAsia="宋体" w:cs="宋体"/>
                <w:strike w:val="0"/>
                <w:dstrike w:val="0"/>
                <w:color w:val="auto"/>
                <w:kern w:val="0"/>
                <w:sz w:val="24"/>
                <w:szCs w:val="24"/>
                <w:highlight w:val="none"/>
                <w:lang w:val="en-US" w:eastAsia="zh-CN" w:bidi="ar"/>
              </w:rPr>
              <w:t>每提供一项完整的作业内容得1分，满分3分；未提供或提供的作业内容明显与本项目不符的不得分</w:t>
            </w:r>
            <w:r>
              <w:rPr>
                <w:rFonts w:hint="eastAsia" w:ascii="宋体" w:hAnsi="宋体" w:eastAsia="宋体" w:cs="宋体"/>
                <w:color w:val="auto"/>
                <w:sz w:val="24"/>
                <w:szCs w:val="24"/>
                <w:highlight w:val="none"/>
              </w:rPr>
              <w:t>。</w:t>
            </w:r>
          </w:p>
        </w:tc>
      </w:tr>
      <w:tr w14:paraId="0F04275B">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796B4859">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服务方案4.</w:t>
            </w:r>
            <w:r>
              <w:rPr>
                <w:rFonts w:hint="eastAsia" w:ascii="宋体" w:hAnsi="宋体" w:eastAsia="宋体" w:cs="宋体"/>
                <w:color w:val="auto"/>
                <w:sz w:val="24"/>
                <w:szCs w:val="24"/>
                <w:highlight w:val="none"/>
              </w:rPr>
              <w:t>应急服务方案</w:t>
            </w: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504EEC8A">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.00</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top"/>
          </w:tcPr>
          <w:p w14:paraId="6240DA1C">
            <w:pPr>
              <w:pStyle w:val="11"/>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rPr>
              <w:t>根据投标人针对本项目提供的应急服务方案（方案</w:t>
            </w:r>
            <w:r>
              <w:rPr>
                <w:rFonts w:hint="eastAsia" w:ascii="宋体" w:hAnsi="宋体" w:eastAsia="宋体" w:cs="宋体"/>
                <w:color w:val="auto"/>
                <w:sz w:val="24"/>
                <w:szCs w:val="24"/>
                <w:highlight w:val="none"/>
                <w:lang w:val="en-US" w:eastAsia="zh-CN"/>
              </w:rPr>
              <w:t>应至少包含但不限于下列3项作业内容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①</w:t>
            </w:r>
            <w:r>
              <w:rPr>
                <w:rFonts w:hint="eastAsia" w:ascii="宋体" w:hAnsi="宋体" w:eastAsia="宋体" w:cs="宋体"/>
                <w:color w:val="auto"/>
                <w:sz w:val="24"/>
                <w:szCs w:val="24"/>
                <w:highlight w:val="none"/>
              </w:rPr>
              <w:t>医院急诊应急方案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②</w:t>
            </w:r>
            <w:r>
              <w:rPr>
                <w:rFonts w:hint="eastAsia" w:ascii="宋体" w:hAnsi="宋体" w:eastAsia="宋体" w:cs="宋体"/>
                <w:color w:val="auto"/>
                <w:sz w:val="24"/>
                <w:szCs w:val="24"/>
                <w:highlight w:val="none"/>
              </w:rPr>
              <w:t>检验结果如果存在异议如何解决以及标本结果引起纠纷的解决方案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③</w:t>
            </w:r>
            <w:r>
              <w:rPr>
                <w:rFonts w:hint="eastAsia" w:ascii="宋体" w:hAnsi="宋体" w:eastAsia="宋体" w:cs="宋体"/>
                <w:color w:val="auto"/>
                <w:sz w:val="24"/>
                <w:szCs w:val="24"/>
                <w:highlight w:val="none"/>
              </w:rPr>
              <w:t>妥善处理投诉的服务方案等）</w:t>
            </w:r>
            <w:r>
              <w:rPr>
                <w:rFonts w:hint="eastAsia" w:ascii="宋体" w:hAnsi="宋体" w:eastAsia="宋体" w:cs="宋体"/>
                <w:color w:val="auto"/>
                <w:kern w:val="0"/>
                <w:sz w:val="24"/>
                <w:szCs w:val="24"/>
                <w:highlight w:val="none"/>
                <w:lang w:val="en-US" w:eastAsia="zh-CN" w:bidi="ar"/>
              </w:rPr>
              <w:t>由评标委员会进行逐项评分：</w:t>
            </w:r>
            <w:r>
              <w:rPr>
                <w:rFonts w:hint="eastAsia" w:ascii="宋体" w:hAnsi="宋体" w:eastAsia="宋体" w:cs="宋体"/>
                <w:strike w:val="0"/>
                <w:dstrike w:val="0"/>
                <w:color w:val="auto"/>
                <w:kern w:val="0"/>
                <w:sz w:val="24"/>
                <w:szCs w:val="24"/>
                <w:highlight w:val="none"/>
                <w:lang w:val="en-US" w:eastAsia="zh-CN" w:bidi="ar"/>
              </w:rPr>
              <w:t>每提供一项完整的作业内容得1分，满分3分；未提供或提供的作业内容明显与本项目不符的不得分</w:t>
            </w:r>
            <w:r>
              <w:rPr>
                <w:rFonts w:hint="eastAsia" w:ascii="宋体" w:hAnsi="宋体" w:eastAsia="宋体" w:cs="宋体"/>
                <w:color w:val="auto"/>
                <w:sz w:val="24"/>
                <w:szCs w:val="24"/>
                <w:highlight w:val="none"/>
              </w:rPr>
              <w:t>。</w:t>
            </w:r>
          </w:p>
        </w:tc>
      </w:tr>
      <w:tr w14:paraId="40909D00">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29AAC980">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服务方案1~4综合评价</w:t>
            </w: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6EE91103">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1.00</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top"/>
          </w:tcPr>
          <w:p w14:paraId="286B95A9">
            <w:pPr>
              <w:pStyle w:val="11"/>
              <w:keepNext w:val="0"/>
              <w:keepLines w:val="0"/>
              <w:pageBreakBefore w:val="0"/>
              <w:kinsoku/>
              <w:wordWrap/>
              <w:overflowPunct/>
              <w:topLinePunct w:val="0"/>
              <w:autoSpaceDE/>
              <w:autoSpaceDN/>
              <w:bidi w:val="0"/>
              <w:adjustRightInd/>
              <w:snapToGrid/>
              <w:spacing w:line="360" w:lineRule="auto"/>
              <w:jc w:val="left"/>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在前4项方案均符合前述得分标准的前提下，由评标委员会根据各投标人提供的服务方案1至服务方案4的总体情况进行综合评价：各项方案均详实、具体，具备可执行性的得1分；各项方案总体详实、总体具备可执行性但存在个别子作业内容欠缺具体细则的得0.7分；各项方案大面积欠缺具体细则或个别子作业内容存在明显实施缺陷导致个别方面可执行性存在缺陷的得0.4分；各项方案均存在明显实施缺陷导致各方案可执行性均存在缺陷的本项不得分。</w:t>
            </w:r>
          </w:p>
        </w:tc>
      </w:tr>
      <w:tr w14:paraId="67CF9FD0">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restart"/>
            <w:tcBorders>
              <w:top w:val="single" w:color="666666" w:sz="6" w:space="0"/>
              <w:left w:val="single" w:color="666666" w:sz="6" w:space="0"/>
              <w:right w:val="single" w:color="666666" w:sz="6" w:space="0"/>
            </w:tcBorders>
            <w:shd w:val="clear" w:color="auto" w:fill="auto"/>
            <w:noWrap w:val="0"/>
            <w:vAlign w:val="center"/>
          </w:tcPr>
          <w:p w14:paraId="692D489F">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kern w:val="0"/>
                <w:sz w:val="24"/>
                <w:szCs w:val="24"/>
                <w:highlight w:val="none"/>
                <w:u w:val="none"/>
              </w:rPr>
              <w:t>病原微生物检测服务能力</w:t>
            </w: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01B7479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lang w:val="en-US" w:eastAsia="zh-CN"/>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1FF6E02D">
            <w:pPr>
              <w:pStyle w:val="4"/>
              <w:keepNext w:val="0"/>
              <w:keepLines w:val="0"/>
              <w:pageBreakBefore w:val="0"/>
              <w:kinsoku/>
              <w:wordWrap/>
              <w:overflowPunct/>
              <w:topLinePunct w:val="0"/>
              <w:autoSpaceDE/>
              <w:autoSpaceDN/>
              <w:bidi w:val="0"/>
              <w:adjustRightInd/>
              <w:snapToGrid/>
              <w:spacing w:line="360" w:lineRule="auto"/>
              <w:ind w:left="0" w:leftChars="0"/>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rPr>
              <w:t>1</w:t>
            </w:r>
            <w:r>
              <w:rPr>
                <w:rFonts w:hint="eastAsia" w:ascii="宋体" w:hAnsi="宋体" w:eastAsia="宋体" w:cs="宋体"/>
                <w:b w:val="0"/>
                <w:bCs w:val="0"/>
                <w:color w:val="auto"/>
                <w:sz w:val="24"/>
                <w:szCs w:val="24"/>
                <w:highlight w:val="none"/>
                <w:u w:val="none"/>
                <w:lang w:val="en-US" w:eastAsia="zh-CN"/>
              </w:rPr>
              <w:t>.</w:t>
            </w:r>
            <w:r>
              <w:rPr>
                <w:rFonts w:hint="eastAsia" w:ascii="宋体" w:hAnsi="宋体" w:eastAsia="宋体" w:cs="宋体"/>
                <w:b w:val="0"/>
                <w:bCs w:val="0"/>
                <w:color w:val="auto"/>
                <w:sz w:val="24"/>
                <w:szCs w:val="24"/>
                <w:highlight w:val="none"/>
                <w:u w:val="none"/>
              </w:rPr>
              <w:t>投标人具有全自动微生物检测流水线平台（包含全自动快速生物质谱检测系统、全自动细菌培养系统、全自动微生物鉴定药敏分析仪、全自动微生物样本工作单元）</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w:t>
            </w:r>
            <w:r>
              <w:rPr>
                <w:rFonts w:hint="eastAsia" w:ascii="宋体" w:hAnsi="宋体" w:eastAsia="宋体" w:cs="宋体"/>
                <w:b w:val="0"/>
                <w:bCs w:val="0"/>
                <w:color w:val="auto"/>
                <w:sz w:val="24"/>
                <w:szCs w:val="24"/>
                <w:highlight w:val="none"/>
                <w:u w:val="none"/>
                <w:lang w:val="en-US" w:eastAsia="zh-CN"/>
              </w:rPr>
              <w:t>3</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提供设备合同或发票、流水线实物照片、标准操作规程文件</w:t>
            </w:r>
            <w:r>
              <w:rPr>
                <w:rFonts w:hint="eastAsia" w:ascii="宋体" w:hAnsi="宋体" w:eastAsia="宋体" w:cs="宋体"/>
                <w:b w:val="0"/>
                <w:bCs w:val="0"/>
                <w:color w:val="auto"/>
                <w:sz w:val="24"/>
                <w:szCs w:val="24"/>
                <w:highlight w:val="none"/>
                <w:u w:val="none"/>
                <w:lang w:val="en-US" w:eastAsia="zh-CN"/>
              </w:rPr>
              <w:t>并</w:t>
            </w:r>
            <w:r>
              <w:rPr>
                <w:rFonts w:hint="eastAsia" w:ascii="宋体" w:hAnsi="宋体" w:eastAsia="宋体" w:cs="宋体"/>
                <w:b w:val="0"/>
                <w:bCs w:val="0"/>
                <w:color w:val="auto"/>
                <w:sz w:val="24"/>
                <w:szCs w:val="24"/>
                <w:highlight w:val="none"/>
                <w:u w:val="none"/>
              </w:rPr>
              <w:t>加盖投标人公章，不提供或提供不全不得分。</w:t>
            </w:r>
          </w:p>
        </w:tc>
      </w:tr>
      <w:tr w14:paraId="24952867">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continue"/>
            <w:tcBorders>
              <w:left w:val="single" w:color="666666" w:sz="6" w:space="0"/>
              <w:right w:val="single" w:color="666666" w:sz="6" w:space="0"/>
            </w:tcBorders>
            <w:shd w:val="clear" w:color="auto" w:fill="auto"/>
            <w:noWrap w:val="0"/>
            <w:vAlign w:val="center"/>
          </w:tcPr>
          <w:p w14:paraId="73D1547D">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sz w:val="24"/>
                <w:szCs w:val="24"/>
                <w:highlight w:val="none"/>
                <w:u w:val="none"/>
              </w:rPr>
            </w:pP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7D2F31A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lang w:val="en-US" w:eastAsia="zh-CN"/>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69EEA3D">
            <w:pPr>
              <w:pStyle w:val="4"/>
              <w:keepNext w:val="0"/>
              <w:keepLines w:val="0"/>
              <w:pageBreakBefore w:val="0"/>
              <w:kinsoku/>
              <w:wordWrap/>
              <w:overflowPunct/>
              <w:topLinePunct w:val="0"/>
              <w:autoSpaceDE/>
              <w:autoSpaceDN/>
              <w:bidi w:val="0"/>
              <w:adjustRightInd/>
              <w:snapToGrid/>
              <w:spacing w:line="360" w:lineRule="auto"/>
              <w:ind w:left="0" w:leftChars="0"/>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rPr>
              <w:t>2</w:t>
            </w:r>
            <w:r>
              <w:rPr>
                <w:rFonts w:hint="eastAsia" w:ascii="宋体" w:hAnsi="宋体" w:eastAsia="宋体" w:cs="宋体"/>
                <w:b w:val="0"/>
                <w:bCs w:val="0"/>
                <w:color w:val="auto"/>
                <w:sz w:val="24"/>
                <w:szCs w:val="24"/>
                <w:highlight w:val="none"/>
                <w:u w:val="none"/>
                <w:lang w:val="en-US" w:eastAsia="zh-CN"/>
              </w:rPr>
              <w:t>.</w:t>
            </w:r>
            <w:r>
              <w:rPr>
                <w:rFonts w:hint="eastAsia" w:ascii="宋体" w:hAnsi="宋体" w:eastAsia="宋体" w:cs="宋体"/>
                <w:b w:val="0"/>
                <w:bCs w:val="0"/>
                <w:color w:val="auto"/>
                <w:sz w:val="24"/>
                <w:szCs w:val="24"/>
                <w:highlight w:val="none"/>
                <w:u w:val="none"/>
              </w:rPr>
              <w:t>投标人所开展微生物检查项目阳性报告可在36小时内出具的得</w:t>
            </w:r>
            <w:r>
              <w:rPr>
                <w:rFonts w:hint="eastAsia" w:ascii="宋体" w:hAnsi="宋体" w:eastAsia="宋体" w:cs="宋体"/>
                <w:b w:val="0"/>
                <w:bCs w:val="0"/>
                <w:color w:val="auto"/>
                <w:sz w:val="24"/>
                <w:szCs w:val="24"/>
                <w:highlight w:val="none"/>
                <w:u w:val="none"/>
                <w:lang w:val="en-US" w:eastAsia="zh-CN"/>
              </w:rPr>
              <w:t>3</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提供承诺函</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格式自拟</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提供</w:t>
            </w:r>
            <w:r>
              <w:rPr>
                <w:rFonts w:hint="eastAsia" w:ascii="宋体" w:hAnsi="宋体" w:eastAsia="宋体" w:cs="宋体"/>
                <w:b w:val="0"/>
                <w:bCs w:val="0"/>
                <w:color w:val="auto"/>
                <w:sz w:val="24"/>
                <w:szCs w:val="24"/>
                <w:highlight w:val="none"/>
                <w:u w:val="none"/>
              </w:rPr>
              <w:t>5份微生物检测报告单及微生物项目平均TAT汇总表，</w:t>
            </w:r>
            <w:r>
              <w:rPr>
                <w:rFonts w:hint="eastAsia" w:ascii="宋体" w:hAnsi="宋体" w:eastAsia="宋体" w:cs="宋体"/>
                <w:b w:val="0"/>
                <w:bCs w:val="0"/>
                <w:color w:val="auto"/>
                <w:sz w:val="24"/>
                <w:szCs w:val="24"/>
                <w:highlight w:val="none"/>
                <w:u w:val="none"/>
                <w:lang w:val="en-US" w:eastAsia="zh-CN"/>
              </w:rPr>
              <w:t>未</w:t>
            </w:r>
            <w:r>
              <w:rPr>
                <w:rFonts w:hint="eastAsia" w:ascii="宋体" w:hAnsi="宋体" w:eastAsia="宋体" w:cs="宋体"/>
                <w:b w:val="0"/>
                <w:bCs w:val="0"/>
                <w:color w:val="auto"/>
                <w:sz w:val="24"/>
                <w:szCs w:val="24"/>
                <w:highlight w:val="none"/>
                <w:u w:val="none"/>
              </w:rPr>
              <w:t>提供或提供不全不得分。</w:t>
            </w:r>
          </w:p>
        </w:tc>
      </w:tr>
      <w:tr w14:paraId="302B044C">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rHeight w:val="936" w:hRule="atLeast"/>
          <w:tblHeader/>
        </w:trPr>
        <w:tc>
          <w:tcPr>
            <w:tcW w:w="634" w:type="pct"/>
            <w:vMerge w:val="restart"/>
            <w:tcBorders>
              <w:top w:val="single" w:color="666666" w:sz="6" w:space="0"/>
              <w:left w:val="single" w:color="666666" w:sz="6" w:space="0"/>
              <w:right w:val="single" w:color="666666" w:sz="6" w:space="0"/>
            </w:tcBorders>
            <w:shd w:val="clear" w:color="auto" w:fill="auto"/>
            <w:noWrap w:val="0"/>
            <w:vAlign w:val="center"/>
          </w:tcPr>
          <w:p w14:paraId="4E6DE1A6">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rPr>
              <w:t>病理服务能力</w:t>
            </w: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0E7704BB">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b w:val="0"/>
                <w:bCs w:val="0"/>
                <w:color w:val="auto"/>
                <w:kern w:val="0"/>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lang w:val="en-US" w:eastAsia="zh-CN"/>
              </w:rPr>
              <w:t>1.00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22FFD50F">
            <w:pPr>
              <w:pStyle w:val="11"/>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b w:val="0"/>
                <w:bCs w:val="0"/>
                <w:color w:val="auto"/>
                <w:kern w:val="0"/>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rPr>
              <w:t>1.投标人具备的病理报告结构化相关的系统</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w:t>
            </w:r>
            <w:r>
              <w:rPr>
                <w:rFonts w:hint="eastAsia" w:ascii="宋体" w:hAnsi="宋体" w:eastAsia="宋体" w:cs="宋体"/>
                <w:b w:val="0"/>
                <w:bCs w:val="0"/>
                <w:color w:val="auto"/>
                <w:sz w:val="24"/>
                <w:szCs w:val="24"/>
                <w:highlight w:val="none"/>
                <w:u w:val="none"/>
                <w:lang w:val="en-US" w:eastAsia="zh-CN"/>
              </w:rPr>
              <w:t>1</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提供</w:t>
            </w:r>
            <w:r>
              <w:rPr>
                <w:rFonts w:hint="eastAsia" w:ascii="宋体" w:hAnsi="宋体" w:eastAsia="宋体" w:cs="宋体"/>
                <w:b w:val="0"/>
                <w:bCs w:val="0"/>
                <w:strike w:val="0"/>
                <w:dstrike w:val="0"/>
                <w:color w:val="auto"/>
                <w:sz w:val="24"/>
                <w:szCs w:val="24"/>
                <w:highlight w:val="none"/>
                <w:u w:val="none"/>
                <w:lang w:val="en-US" w:eastAsia="zh-CN"/>
              </w:rPr>
              <w:t>相关</w:t>
            </w:r>
            <w:r>
              <w:rPr>
                <w:rFonts w:hint="eastAsia" w:ascii="宋体" w:hAnsi="宋体" w:eastAsia="宋体" w:cs="宋体"/>
                <w:b w:val="0"/>
                <w:bCs w:val="0"/>
                <w:strike w:val="0"/>
                <w:dstrike w:val="0"/>
                <w:color w:val="auto"/>
                <w:sz w:val="24"/>
                <w:szCs w:val="24"/>
                <w:highlight w:val="none"/>
                <w:u w:val="none"/>
              </w:rPr>
              <w:t>计算机</w:t>
            </w:r>
            <w:r>
              <w:rPr>
                <w:rFonts w:hint="eastAsia" w:ascii="宋体" w:hAnsi="宋体" w:eastAsia="宋体" w:cs="宋体"/>
                <w:b w:val="0"/>
                <w:bCs w:val="0"/>
                <w:strike w:val="0"/>
                <w:color w:val="auto"/>
                <w:sz w:val="24"/>
                <w:szCs w:val="24"/>
                <w:highlight w:val="none"/>
                <w:u w:val="none"/>
              </w:rPr>
              <w:t>软</w:t>
            </w:r>
            <w:r>
              <w:rPr>
                <w:rFonts w:hint="eastAsia" w:ascii="宋体" w:hAnsi="宋体" w:eastAsia="宋体" w:cs="宋体"/>
                <w:b w:val="0"/>
                <w:bCs w:val="0"/>
                <w:color w:val="auto"/>
                <w:sz w:val="24"/>
                <w:szCs w:val="24"/>
                <w:highlight w:val="none"/>
                <w:u w:val="none"/>
              </w:rPr>
              <w:t>件著作权登记证书复印件并加盖</w:t>
            </w:r>
            <w:r>
              <w:rPr>
                <w:rFonts w:hint="eastAsia" w:ascii="宋体" w:hAnsi="宋体" w:eastAsia="宋体" w:cs="宋体"/>
                <w:b w:val="0"/>
                <w:bCs w:val="0"/>
                <w:color w:val="auto"/>
                <w:sz w:val="24"/>
                <w:szCs w:val="24"/>
                <w:highlight w:val="none"/>
                <w:u w:val="none"/>
                <w:lang w:val="en-US" w:eastAsia="zh-CN"/>
              </w:rPr>
              <w:t>投标人</w:t>
            </w:r>
            <w:r>
              <w:rPr>
                <w:rFonts w:hint="eastAsia" w:ascii="宋体" w:hAnsi="宋体" w:eastAsia="宋体" w:cs="宋体"/>
                <w:b w:val="0"/>
                <w:bCs w:val="0"/>
                <w:color w:val="auto"/>
                <w:sz w:val="24"/>
                <w:szCs w:val="24"/>
                <w:highlight w:val="none"/>
                <w:u w:val="none"/>
              </w:rPr>
              <w:t>公章</w:t>
            </w:r>
            <w:r>
              <w:rPr>
                <w:rFonts w:hint="eastAsia" w:ascii="宋体" w:hAnsi="宋体" w:eastAsia="宋体" w:cs="宋体"/>
                <w:b w:val="0"/>
                <w:bCs w:val="0"/>
                <w:color w:val="auto"/>
                <w:sz w:val="24"/>
                <w:szCs w:val="24"/>
                <w:highlight w:val="none"/>
                <w:u w:val="none"/>
                <w:lang w:eastAsia="zh-CN"/>
              </w:rPr>
              <w:t>。</w:t>
            </w:r>
          </w:p>
        </w:tc>
      </w:tr>
      <w:tr w14:paraId="4465626B">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continue"/>
            <w:tcBorders>
              <w:left w:val="single" w:color="666666" w:sz="6" w:space="0"/>
              <w:right w:val="single" w:color="666666" w:sz="6" w:space="0"/>
            </w:tcBorders>
            <w:shd w:val="clear" w:color="auto" w:fill="auto"/>
            <w:noWrap w:val="0"/>
            <w:vAlign w:val="center"/>
          </w:tcPr>
          <w:p w14:paraId="2BB6DB2D">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sz w:val="24"/>
                <w:szCs w:val="24"/>
                <w:highlight w:val="none"/>
                <w:u w:val="none"/>
              </w:rPr>
            </w:pP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0ABF1075">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b w:val="0"/>
                <w:bCs w:val="0"/>
                <w:color w:val="auto"/>
                <w:kern w:val="0"/>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lang w:val="en-US" w:eastAsia="zh-CN"/>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147B6895">
            <w:pPr>
              <w:pStyle w:val="11"/>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rPr>
              <w:t>2.投标人提供具备病理诊断结构化能力，依据结构化报告模板数量进行评审：结构化报告模板≥25种</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得3分；10</w:t>
            </w:r>
            <w:r>
              <w:rPr>
                <w:rFonts w:hint="eastAsia" w:ascii="宋体" w:hAnsi="宋体" w:eastAsia="宋体" w:cs="宋体"/>
                <w:b w:val="0"/>
                <w:bCs w:val="0"/>
                <w:color w:val="auto"/>
                <w:sz w:val="24"/>
                <w:szCs w:val="24"/>
                <w:highlight w:val="none"/>
                <w:u w:val="none"/>
                <w:lang w:val="en-US" w:eastAsia="zh-CN"/>
              </w:rPr>
              <w:t>种</w:t>
            </w:r>
            <w:r>
              <w:rPr>
                <w:rFonts w:hint="eastAsia" w:ascii="宋体" w:hAnsi="宋体" w:eastAsia="宋体" w:cs="宋体"/>
                <w:b w:val="0"/>
                <w:bCs w:val="0"/>
                <w:color w:val="auto"/>
                <w:sz w:val="24"/>
                <w:szCs w:val="24"/>
                <w:highlight w:val="none"/>
                <w:u w:val="none"/>
              </w:rPr>
              <w:t>≤结构化报告模板＜25种</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得2分；1</w:t>
            </w:r>
            <w:r>
              <w:rPr>
                <w:rFonts w:hint="eastAsia" w:ascii="宋体" w:hAnsi="宋体" w:eastAsia="宋体" w:cs="宋体"/>
                <w:b w:val="0"/>
                <w:bCs w:val="0"/>
                <w:color w:val="auto"/>
                <w:sz w:val="24"/>
                <w:szCs w:val="24"/>
                <w:highlight w:val="none"/>
                <w:u w:val="none"/>
                <w:lang w:val="en-US" w:eastAsia="zh-CN"/>
              </w:rPr>
              <w:t>种</w:t>
            </w:r>
            <w:r>
              <w:rPr>
                <w:rFonts w:hint="eastAsia" w:ascii="宋体" w:hAnsi="宋体" w:eastAsia="宋体" w:cs="宋体"/>
                <w:b w:val="0"/>
                <w:bCs w:val="0"/>
                <w:color w:val="auto"/>
                <w:sz w:val="24"/>
                <w:szCs w:val="24"/>
                <w:highlight w:val="none"/>
                <w:u w:val="none"/>
              </w:rPr>
              <w:t>≤结构化报告模板＜10种</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得1分；</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提供系统数据截图或结构化模板或历史报告单等相关证明文件</w:t>
            </w:r>
            <w:r>
              <w:rPr>
                <w:rFonts w:hint="eastAsia" w:ascii="宋体" w:hAnsi="宋体" w:eastAsia="宋体" w:cs="宋体"/>
                <w:b w:val="0"/>
                <w:bCs w:val="0"/>
                <w:color w:val="auto"/>
                <w:sz w:val="24"/>
                <w:szCs w:val="24"/>
                <w:highlight w:val="none"/>
                <w:u w:val="none"/>
                <w:lang w:val="en-US" w:eastAsia="zh-CN"/>
              </w:rPr>
              <w:t>佐证并</w:t>
            </w:r>
            <w:r>
              <w:rPr>
                <w:rFonts w:hint="eastAsia" w:ascii="宋体" w:hAnsi="宋体" w:eastAsia="宋体" w:cs="宋体"/>
                <w:b w:val="0"/>
                <w:bCs w:val="0"/>
                <w:color w:val="auto"/>
                <w:sz w:val="24"/>
                <w:szCs w:val="24"/>
                <w:highlight w:val="none"/>
                <w:u w:val="none"/>
              </w:rPr>
              <w:t>加盖投标人公章</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未按要求提供或未提供的不得分。</w:t>
            </w:r>
          </w:p>
        </w:tc>
      </w:tr>
      <w:tr w14:paraId="3A4B7E2E">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continue"/>
            <w:tcBorders>
              <w:left w:val="single" w:color="666666" w:sz="6" w:space="0"/>
              <w:bottom w:val="single" w:color="666666" w:sz="6" w:space="0"/>
              <w:right w:val="single" w:color="666666" w:sz="6" w:space="0"/>
            </w:tcBorders>
            <w:shd w:val="clear" w:color="auto" w:fill="auto"/>
            <w:noWrap w:val="0"/>
            <w:vAlign w:val="center"/>
          </w:tcPr>
          <w:p w14:paraId="15AD1263">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sz w:val="24"/>
                <w:szCs w:val="24"/>
                <w:highlight w:val="none"/>
                <w:u w:val="none"/>
              </w:rPr>
            </w:pP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15CCB682">
            <w:pPr>
              <w:pStyle w:val="11"/>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b w:val="0"/>
                <w:bCs w:val="0"/>
                <w:color w:val="auto"/>
                <w:kern w:val="0"/>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lang w:val="en-US" w:eastAsia="zh-CN"/>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591BF94C">
            <w:pPr>
              <w:pStyle w:val="11"/>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rPr>
              <w:t>3.</w:t>
            </w:r>
            <w:r>
              <w:rPr>
                <w:rFonts w:hint="eastAsia" w:ascii="宋体" w:hAnsi="宋体" w:eastAsia="宋体" w:cs="宋体"/>
                <w:b w:val="0"/>
                <w:bCs w:val="0"/>
                <w:color w:val="auto"/>
                <w:sz w:val="24"/>
                <w:szCs w:val="24"/>
                <w:highlight w:val="none"/>
                <w:u w:val="none"/>
                <w:lang w:val="en-US" w:eastAsia="zh-CN"/>
              </w:rPr>
              <w:t>根据</w:t>
            </w:r>
            <w:r>
              <w:rPr>
                <w:rFonts w:hint="eastAsia" w:ascii="宋体" w:hAnsi="宋体" w:eastAsia="宋体" w:cs="宋体"/>
                <w:b w:val="0"/>
                <w:bCs w:val="0"/>
                <w:color w:val="auto"/>
                <w:sz w:val="24"/>
                <w:szCs w:val="24"/>
                <w:highlight w:val="none"/>
                <w:u w:val="none"/>
              </w:rPr>
              <w:t>投标人在病理报告结构化系统平台上已签发结构化报告的案例数量进行评审：已签发结构化报告达到</w:t>
            </w:r>
            <w:r>
              <w:rPr>
                <w:rFonts w:hint="eastAsia" w:ascii="宋体" w:hAnsi="宋体" w:eastAsia="宋体" w:cs="宋体"/>
                <w:b w:val="0"/>
                <w:bCs w:val="0"/>
                <w:color w:val="auto"/>
                <w:sz w:val="24"/>
                <w:szCs w:val="24"/>
                <w:highlight w:val="none"/>
                <w:u w:val="none"/>
                <w:lang w:val="en-US" w:eastAsia="zh-CN"/>
              </w:rPr>
              <w:t>10</w:t>
            </w:r>
            <w:r>
              <w:rPr>
                <w:rFonts w:hint="eastAsia" w:ascii="宋体" w:hAnsi="宋体" w:eastAsia="宋体" w:cs="宋体"/>
                <w:b w:val="0"/>
                <w:bCs w:val="0"/>
                <w:color w:val="auto"/>
                <w:sz w:val="24"/>
                <w:szCs w:val="24"/>
                <w:highlight w:val="none"/>
                <w:u w:val="none"/>
              </w:rPr>
              <w:t>万（含）例</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得1分，在</w:t>
            </w:r>
            <w:r>
              <w:rPr>
                <w:rFonts w:hint="eastAsia" w:ascii="宋体" w:hAnsi="宋体" w:eastAsia="宋体" w:cs="宋体"/>
                <w:b w:val="0"/>
                <w:bCs w:val="0"/>
                <w:color w:val="auto"/>
                <w:sz w:val="24"/>
                <w:szCs w:val="24"/>
                <w:highlight w:val="none"/>
                <w:u w:val="none"/>
                <w:lang w:val="en-US" w:eastAsia="zh-CN"/>
              </w:rPr>
              <w:t>10</w:t>
            </w:r>
            <w:r>
              <w:rPr>
                <w:rFonts w:hint="eastAsia" w:ascii="宋体" w:hAnsi="宋体" w:eastAsia="宋体" w:cs="宋体"/>
                <w:b w:val="0"/>
                <w:bCs w:val="0"/>
                <w:color w:val="auto"/>
                <w:sz w:val="24"/>
                <w:szCs w:val="24"/>
                <w:highlight w:val="none"/>
                <w:u w:val="none"/>
              </w:rPr>
              <w:t>万例基础上，每多</w:t>
            </w:r>
            <w:r>
              <w:rPr>
                <w:rFonts w:hint="eastAsia" w:ascii="宋体" w:hAnsi="宋体" w:eastAsia="宋体" w:cs="宋体"/>
                <w:b w:val="0"/>
                <w:bCs w:val="0"/>
                <w:color w:val="auto"/>
                <w:sz w:val="24"/>
                <w:szCs w:val="24"/>
                <w:highlight w:val="none"/>
                <w:u w:val="none"/>
                <w:lang w:val="en-US" w:eastAsia="zh-CN"/>
              </w:rPr>
              <w:t>10</w:t>
            </w:r>
            <w:r>
              <w:rPr>
                <w:rFonts w:hint="eastAsia" w:ascii="宋体" w:hAnsi="宋体" w:eastAsia="宋体" w:cs="宋体"/>
                <w:b w:val="0"/>
                <w:bCs w:val="0"/>
                <w:color w:val="auto"/>
                <w:sz w:val="24"/>
                <w:szCs w:val="24"/>
                <w:highlight w:val="none"/>
                <w:u w:val="none"/>
              </w:rPr>
              <w:t>万（含）例的加1分（不足</w:t>
            </w:r>
            <w:r>
              <w:rPr>
                <w:rFonts w:hint="eastAsia" w:ascii="宋体" w:hAnsi="宋体" w:eastAsia="宋体" w:cs="宋体"/>
                <w:b w:val="0"/>
                <w:bCs w:val="0"/>
                <w:color w:val="auto"/>
                <w:sz w:val="24"/>
                <w:szCs w:val="24"/>
                <w:highlight w:val="none"/>
                <w:u w:val="none"/>
                <w:lang w:val="en-US" w:eastAsia="zh-CN"/>
              </w:rPr>
              <w:t>10</w:t>
            </w:r>
            <w:r>
              <w:rPr>
                <w:rFonts w:hint="eastAsia" w:ascii="宋体" w:hAnsi="宋体" w:eastAsia="宋体" w:cs="宋体"/>
                <w:b w:val="0"/>
                <w:bCs w:val="0"/>
                <w:color w:val="auto"/>
                <w:sz w:val="24"/>
                <w:szCs w:val="24"/>
                <w:highlight w:val="none"/>
                <w:u w:val="none"/>
              </w:rPr>
              <w:t>万例不得分），</w:t>
            </w:r>
            <w:r>
              <w:rPr>
                <w:rFonts w:hint="eastAsia" w:ascii="宋体" w:hAnsi="宋体" w:eastAsia="宋体" w:cs="宋体"/>
                <w:b w:val="0"/>
                <w:bCs w:val="0"/>
                <w:color w:val="auto"/>
                <w:sz w:val="24"/>
                <w:szCs w:val="24"/>
                <w:highlight w:val="none"/>
                <w:u w:val="none"/>
                <w:lang w:val="en-US" w:eastAsia="zh-CN"/>
              </w:rPr>
              <w:t>满分3</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提供已签发报告数据截图</w:t>
            </w:r>
            <w:r>
              <w:rPr>
                <w:rFonts w:hint="eastAsia" w:ascii="宋体" w:hAnsi="宋体" w:eastAsia="宋体" w:cs="宋体"/>
                <w:b w:val="0"/>
                <w:bCs w:val="0"/>
                <w:color w:val="auto"/>
                <w:sz w:val="24"/>
                <w:szCs w:val="24"/>
                <w:highlight w:val="none"/>
                <w:u w:val="none"/>
                <w:lang w:val="en-US" w:eastAsia="zh-CN"/>
              </w:rPr>
              <w:t>佐证</w:t>
            </w:r>
            <w:r>
              <w:rPr>
                <w:rFonts w:hint="eastAsia" w:ascii="宋体" w:hAnsi="宋体" w:eastAsia="宋体" w:cs="宋体"/>
                <w:b w:val="0"/>
                <w:bCs w:val="0"/>
                <w:color w:val="auto"/>
                <w:sz w:val="24"/>
                <w:szCs w:val="24"/>
                <w:highlight w:val="none"/>
                <w:u w:val="none"/>
              </w:rPr>
              <w:t>并加盖投标人公章。</w:t>
            </w:r>
          </w:p>
        </w:tc>
      </w:tr>
      <w:tr w14:paraId="0F021C39">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restart"/>
            <w:tcBorders>
              <w:top w:val="single" w:color="666666" w:sz="6" w:space="0"/>
              <w:left w:val="single" w:color="666666" w:sz="6" w:space="0"/>
              <w:right w:val="single" w:color="666666" w:sz="6" w:space="0"/>
            </w:tcBorders>
            <w:shd w:val="clear" w:color="auto" w:fill="auto"/>
            <w:noWrap w:val="0"/>
            <w:vAlign w:val="center"/>
          </w:tcPr>
          <w:p w14:paraId="5EB52071">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rPr>
              <w:t>远程病理技术服务能力</w:t>
            </w: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50FFF16D">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lang w:val="en-US" w:eastAsia="zh-CN"/>
              </w:rPr>
              <w:t>1.00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46FB4E9F">
            <w:pPr>
              <w:pStyle w:val="4"/>
              <w:keepNext w:val="0"/>
              <w:keepLines w:val="0"/>
              <w:pageBreakBefore w:val="0"/>
              <w:kinsoku/>
              <w:wordWrap/>
              <w:overflowPunct/>
              <w:topLinePunct w:val="0"/>
              <w:autoSpaceDE/>
              <w:autoSpaceDN/>
              <w:bidi w:val="0"/>
              <w:adjustRightInd/>
              <w:snapToGrid/>
              <w:spacing w:line="360" w:lineRule="auto"/>
              <w:ind w:left="0" w:leftChars="0"/>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rPr>
              <w:t>1</w:t>
            </w:r>
            <w:r>
              <w:rPr>
                <w:rFonts w:hint="eastAsia" w:ascii="宋体" w:hAnsi="宋体" w:eastAsia="宋体" w:cs="宋体"/>
                <w:b w:val="0"/>
                <w:bCs w:val="0"/>
                <w:color w:val="auto"/>
                <w:sz w:val="24"/>
                <w:szCs w:val="24"/>
                <w:highlight w:val="none"/>
                <w:u w:val="none"/>
                <w:lang w:val="en-US" w:eastAsia="zh-CN"/>
              </w:rPr>
              <w:t>.</w:t>
            </w:r>
            <w:r>
              <w:rPr>
                <w:rFonts w:hint="eastAsia" w:ascii="宋体" w:hAnsi="宋体" w:eastAsia="宋体" w:cs="宋体"/>
                <w:b w:val="0"/>
                <w:bCs w:val="0"/>
                <w:color w:val="auto"/>
                <w:sz w:val="24"/>
                <w:szCs w:val="24"/>
                <w:highlight w:val="none"/>
                <w:u w:val="none"/>
              </w:rPr>
              <w:t>投标人具</w:t>
            </w:r>
            <w:r>
              <w:rPr>
                <w:rFonts w:hint="eastAsia" w:ascii="宋体" w:hAnsi="宋体" w:eastAsia="宋体" w:cs="宋体"/>
                <w:b w:val="0"/>
                <w:bCs w:val="0"/>
                <w:color w:val="auto"/>
                <w:sz w:val="24"/>
                <w:szCs w:val="24"/>
                <w:highlight w:val="none"/>
                <w:u w:val="none"/>
                <w:lang w:val="en-US" w:eastAsia="zh-CN"/>
              </w:rPr>
              <w:t>有</w:t>
            </w:r>
            <w:r>
              <w:rPr>
                <w:rFonts w:hint="eastAsia" w:ascii="宋体" w:hAnsi="宋体" w:eastAsia="宋体" w:cs="宋体"/>
                <w:b w:val="0"/>
                <w:bCs w:val="0"/>
                <w:color w:val="auto"/>
                <w:sz w:val="24"/>
                <w:szCs w:val="24"/>
                <w:highlight w:val="none"/>
                <w:u w:val="none"/>
              </w:rPr>
              <w:t>的远程病理会诊</w:t>
            </w:r>
            <w:r>
              <w:rPr>
                <w:rFonts w:hint="eastAsia" w:ascii="宋体" w:hAnsi="宋体" w:eastAsia="宋体" w:cs="宋体"/>
                <w:b w:val="0"/>
                <w:bCs w:val="0"/>
                <w:color w:val="auto"/>
                <w:sz w:val="24"/>
                <w:szCs w:val="24"/>
                <w:highlight w:val="none"/>
                <w:u w:val="none"/>
                <w:lang w:val="en-US" w:eastAsia="zh-CN"/>
              </w:rPr>
              <w:t>相关</w:t>
            </w:r>
            <w:r>
              <w:rPr>
                <w:rFonts w:hint="eastAsia" w:ascii="宋体" w:hAnsi="宋体" w:eastAsia="宋体" w:cs="宋体"/>
                <w:b w:val="0"/>
                <w:bCs w:val="0"/>
                <w:color w:val="auto"/>
                <w:sz w:val="24"/>
                <w:szCs w:val="24"/>
                <w:highlight w:val="none"/>
                <w:u w:val="none"/>
              </w:rPr>
              <w:t>系统，可为医院提供完善的远程病理诊断系统支持</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w:t>
            </w:r>
            <w:r>
              <w:rPr>
                <w:rFonts w:hint="eastAsia" w:ascii="宋体" w:hAnsi="宋体" w:eastAsia="宋体" w:cs="宋体"/>
                <w:b w:val="0"/>
                <w:bCs w:val="0"/>
                <w:color w:val="auto"/>
                <w:sz w:val="24"/>
                <w:szCs w:val="24"/>
                <w:highlight w:val="none"/>
                <w:u w:val="none"/>
                <w:lang w:val="en-US" w:eastAsia="zh-CN"/>
              </w:rPr>
              <w:t>1</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rPr>
              <w:t>自有须提供计算机软件著作权登记证书复印件并加盖公章，租赁或购买须提供（租赁或购买合同）</w:t>
            </w:r>
            <w:r>
              <w:rPr>
                <w:rFonts w:hint="eastAsia" w:ascii="宋体" w:hAnsi="宋体" w:eastAsia="宋体" w:cs="宋体"/>
                <w:b w:val="0"/>
                <w:bCs w:val="0"/>
                <w:color w:val="auto"/>
                <w:sz w:val="24"/>
                <w:szCs w:val="24"/>
                <w:highlight w:val="none"/>
                <w:u w:val="none"/>
                <w:lang w:val="en-US" w:eastAsia="zh-CN"/>
              </w:rPr>
              <w:t>及</w:t>
            </w:r>
            <w:r>
              <w:rPr>
                <w:rFonts w:hint="eastAsia" w:ascii="宋体" w:hAnsi="宋体" w:eastAsia="宋体" w:cs="宋体"/>
                <w:b w:val="0"/>
                <w:bCs w:val="0"/>
                <w:strike w:val="0"/>
                <w:dstrike w:val="0"/>
                <w:color w:val="auto"/>
                <w:sz w:val="24"/>
                <w:szCs w:val="24"/>
                <w:highlight w:val="none"/>
                <w:u w:val="none"/>
                <w:lang w:val="en-US" w:eastAsia="zh-CN"/>
              </w:rPr>
              <w:t>相关</w:t>
            </w:r>
            <w:r>
              <w:rPr>
                <w:rFonts w:hint="eastAsia" w:ascii="宋体" w:hAnsi="宋体" w:eastAsia="宋体" w:cs="宋体"/>
                <w:b w:val="0"/>
                <w:bCs w:val="0"/>
                <w:strike w:val="0"/>
                <w:dstrike w:val="0"/>
                <w:color w:val="auto"/>
                <w:sz w:val="24"/>
                <w:szCs w:val="24"/>
                <w:highlight w:val="none"/>
                <w:u w:val="none"/>
              </w:rPr>
              <w:t>计算机</w:t>
            </w:r>
            <w:r>
              <w:rPr>
                <w:rFonts w:hint="eastAsia" w:ascii="宋体" w:hAnsi="宋体" w:eastAsia="宋体" w:cs="宋体"/>
                <w:b w:val="0"/>
                <w:bCs w:val="0"/>
                <w:color w:val="auto"/>
                <w:sz w:val="24"/>
                <w:szCs w:val="24"/>
                <w:highlight w:val="none"/>
                <w:u w:val="none"/>
              </w:rPr>
              <w:t>软件著作权登记证书复印件并加</w:t>
            </w:r>
            <w:r>
              <w:rPr>
                <w:rFonts w:hint="eastAsia" w:ascii="宋体" w:hAnsi="宋体" w:eastAsia="宋体" w:cs="宋体"/>
                <w:b w:val="0"/>
                <w:bCs w:val="0"/>
                <w:color w:val="auto"/>
                <w:sz w:val="24"/>
                <w:szCs w:val="24"/>
                <w:highlight w:val="none"/>
                <w:u w:val="none"/>
                <w:lang w:val="en-US" w:eastAsia="zh-CN"/>
              </w:rPr>
              <w:t>投标人</w:t>
            </w:r>
            <w:r>
              <w:rPr>
                <w:rFonts w:hint="eastAsia" w:ascii="宋体" w:hAnsi="宋体" w:eastAsia="宋体" w:cs="宋体"/>
                <w:b w:val="0"/>
                <w:bCs w:val="0"/>
                <w:color w:val="auto"/>
                <w:sz w:val="24"/>
                <w:szCs w:val="24"/>
                <w:highlight w:val="none"/>
                <w:u w:val="none"/>
              </w:rPr>
              <w:t>盖公章。</w:t>
            </w:r>
          </w:p>
        </w:tc>
      </w:tr>
      <w:tr w14:paraId="626FD1F5">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continue"/>
            <w:tcBorders>
              <w:left w:val="single" w:color="666666" w:sz="6" w:space="0"/>
              <w:bottom w:val="single" w:color="666666" w:sz="6" w:space="0"/>
              <w:right w:val="single" w:color="666666" w:sz="6" w:space="0"/>
            </w:tcBorders>
            <w:shd w:val="clear" w:color="auto" w:fill="auto"/>
            <w:noWrap w:val="0"/>
            <w:vAlign w:val="center"/>
          </w:tcPr>
          <w:p w14:paraId="0402B99B">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sz w:val="24"/>
                <w:szCs w:val="24"/>
                <w:highlight w:val="none"/>
                <w:u w:val="none"/>
              </w:rPr>
            </w:pP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552780EE">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CN" w:bidi="ar-SA"/>
              </w:rPr>
            </w:pPr>
            <w:r>
              <w:rPr>
                <w:rFonts w:hint="eastAsia" w:ascii="宋体" w:hAnsi="宋体" w:eastAsia="宋体" w:cs="宋体"/>
                <w:b w:val="0"/>
                <w:bCs w:val="0"/>
                <w:color w:val="auto"/>
                <w:sz w:val="24"/>
                <w:szCs w:val="24"/>
                <w:highlight w:val="none"/>
                <w:u w:val="none"/>
                <w:lang w:val="en-US" w:eastAsia="zh-CN"/>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5DEB9F60">
            <w:pPr>
              <w:pStyle w:val="4"/>
              <w:keepNext w:val="0"/>
              <w:keepLines w:val="0"/>
              <w:pageBreakBefore w:val="0"/>
              <w:kinsoku/>
              <w:wordWrap/>
              <w:overflowPunct/>
              <w:topLinePunct w:val="0"/>
              <w:autoSpaceDE/>
              <w:autoSpaceDN/>
              <w:bidi w:val="0"/>
              <w:adjustRightInd/>
              <w:snapToGrid/>
              <w:spacing w:line="360" w:lineRule="auto"/>
              <w:ind w:left="0" w:leftChars="0"/>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rPr>
              <w:t>2</w:t>
            </w:r>
            <w:r>
              <w:rPr>
                <w:rFonts w:hint="eastAsia" w:ascii="宋体" w:hAnsi="宋体" w:eastAsia="宋体" w:cs="宋体"/>
                <w:b w:val="0"/>
                <w:bCs w:val="0"/>
                <w:color w:val="auto"/>
                <w:sz w:val="24"/>
                <w:szCs w:val="24"/>
                <w:highlight w:val="none"/>
                <w:u w:val="none"/>
                <w:lang w:val="en-US" w:eastAsia="zh-CN"/>
              </w:rPr>
              <w:t>.</w:t>
            </w:r>
            <w:r>
              <w:rPr>
                <w:rFonts w:hint="eastAsia" w:ascii="宋体" w:hAnsi="宋体" w:eastAsia="宋体" w:cs="宋体"/>
                <w:b w:val="0"/>
                <w:bCs w:val="0"/>
                <w:color w:val="auto"/>
                <w:sz w:val="24"/>
                <w:szCs w:val="24"/>
                <w:highlight w:val="none"/>
                <w:u w:val="none"/>
              </w:rPr>
              <w:t>投标人具有远程病理诊断服务能力，依据投入其远程病理平台已完成的远程病理诊断数量进行评审：提供</w:t>
            </w:r>
            <w:r>
              <w:rPr>
                <w:rFonts w:hint="eastAsia" w:ascii="宋体" w:hAnsi="宋体" w:eastAsia="宋体" w:cs="宋体"/>
                <w:b w:val="0"/>
                <w:bCs w:val="0"/>
                <w:color w:val="auto"/>
                <w:sz w:val="24"/>
                <w:szCs w:val="24"/>
                <w:highlight w:val="none"/>
                <w:u w:val="none"/>
                <w:lang w:val="en-US" w:eastAsia="zh-CN"/>
              </w:rPr>
              <w:t>累计的</w:t>
            </w:r>
            <w:r>
              <w:rPr>
                <w:rFonts w:hint="eastAsia" w:ascii="宋体" w:hAnsi="宋体" w:eastAsia="宋体" w:cs="宋体"/>
                <w:b w:val="0"/>
                <w:bCs w:val="0"/>
                <w:color w:val="auto"/>
                <w:sz w:val="24"/>
                <w:szCs w:val="24"/>
                <w:highlight w:val="none"/>
                <w:u w:val="none"/>
              </w:rPr>
              <w:t>远程病理诊断数量：提供累计的远程病理诊断数量达到</w:t>
            </w:r>
            <w:r>
              <w:rPr>
                <w:rFonts w:hint="eastAsia" w:ascii="宋体" w:hAnsi="宋体" w:eastAsia="宋体" w:cs="宋体"/>
                <w:b w:val="0"/>
                <w:bCs w:val="0"/>
                <w:color w:val="auto"/>
                <w:sz w:val="24"/>
                <w:szCs w:val="24"/>
                <w:highlight w:val="none"/>
                <w:u w:val="none"/>
                <w:lang w:val="en-US" w:eastAsia="zh-CN"/>
              </w:rPr>
              <w:t>100</w:t>
            </w:r>
            <w:r>
              <w:rPr>
                <w:rFonts w:hint="eastAsia" w:ascii="宋体" w:hAnsi="宋体" w:eastAsia="宋体" w:cs="宋体"/>
                <w:b w:val="0"/>
                <w:bCs w:val="0"/>
                <w:color w:val="auto"/>
                <w:sz w:val="24"/>
                <w:szCs w:val="24"/>
                <w:highlight w:val="none"/>
                <w:u w:val="none"/>
              </w:rPr>
              <w:t>万（含）例</w:t>
            </w:r>
            <w:r>
              <w:rPr>
                <w:rFonts w:hint="eastAsia" w:ascii="宋体" w:hAnsi="宋体" w:eastAsia="宋体" w:cs="宋体"/>
                <w:b w:val="0"/>
                <w:bCs w:val="0"/>
                <w:color w:val="auto"/>
                <w:sz w:val="24"/>
                <w:szCs w:val="24"/>
                <w:highlight w:val="none"/>
                <w:u w:val="none"/>
                <w:lang w:eastAsia="zh-CN"/>
              </w:rPr>
              <w:t>的</w:t>
            </w:r>
            <w:r>
              <w:rPr>
                <w:rFonts w:hint="eastAsia" w:ascii="宋体" w:hAnsi="宋体" w:eastAsia="宋体" w:cs="宋体"/>
                <w:b w:val="0"/>
                <w:bCs w:val="0"/>
                <w:color w:val="auto"/>
                <w:sz w:val="24"/>
                <w:szCs w:val="24"/>
                <w:highlight w:val="none"/>
                <w:u w:val="none"/>
              </w:rPr>
              <w:t>得</w:t>
            </w:r>
            <w:r>
              <w:rPr>
                <w:rFonts w:hint="eastAsia" w:ascii="宋体" w:hAnsi="宋体" w:eastAsia="宋体" w:cs="宋体"/>
                <w:b w:val="0"/>
                <w:bCs w:val="0"/>
                <w:color w:val="auto"/>
                <w:sz w:val="24"/>
                <w:szCs w:val="24"/>
                <w:highlight w:val="none"/>
                <w:u w:val="none"/>
                <w:lang w:val="en-US" w:eastAsia="zh-CN"/>
              </w:rPr>
              <w:t>1</w:t>
            </w:r>
            <w:r>
              <w:rPr>
                <w:rFonts w:hint="eastAsia" w:ascii="宋体" w:hAnsi="宋体" w:eastAsia="宋体" w:cs="宋体"/>
                <w:b w:val="0"/>
                <w:bCs w:val="0"/>
                <w:color w:val="auto"/>
                <w:sz w:val="24"/>
                <w:szCs w:val="24"/>
                <w:highlight w:val="none"/>
                <w:u w:val="none"/>
              </w:rPr>
              <w:t>分，在</w:t>
            </w:r>
            <w:r>
              <w:rPr>
                <w:rFonts w:hint="eastAsia" w:ascii="宋体" w:hAnsi="宋体" w:eastAsia="宋体" w:cs="宋体"/>
                <w:b w:val="0"/>
                <w:bCs w:val="0"/>
                <w:color w:val="auto"/>
                <w:sz w:val="24"/>
                <w:szCs w:val="24"/>
                <w:highlight w:val="none"/>
                <w:u w:val="none"/>
                <w:lang w:val="en-US" w:eastAsia="zh-CN"/>
              </w:rPr>
              <w:t>100</w:t>
            </w:r>
            <w:r>
              <w:rPr>
                <w:rFonts w:hint="eastAsia" w:ascii="宋体" w:hAnsi="宋体" w:eastAsia="宋体" w:cs="宋体"/>
                <w:b w:val="0"/>
                <w:bCs w:val="0"/>
                <w:color w:val="auto"/>
                <w:sz w:val="24"/>
                <w:szCs w:val="24"/>
                <w:highlight w:val="none"/>
                <w:u w:val="none"/>
              </w:rPr>
              <w:t>万例基础上，每</w:t>
            </w:r>
            <w:r>
              <w:rPr>
                <w:rFonts w:hint="eastAsia" w:ascii="宋体" w:hAnsi="宋体" w:eastAsia="宋体" w:cs="宋体"/>
                <w:b w:val="0"/>
                <w:bCs w:val="0"/>
                <w:color w:val="auto"/>
                <w:sz w:val="24"/>
                <w:szCs w:val="24"/>
                <w:highlight w:val="none"/>
                <w:u w:val="none"/>
                <w:lang w:val="en-US" w:eastAsia="zh-CN"/>
              </w:rPr>
              <w:t>增加100</w:t>
            </w:r>
            <w:r>
              <w:rPr>
                <w:rFonts w:hint="eastAsia" w:ascii="宋体" w:hAnsi="宋体" w:eastAsia="宋体" w:cs="宋体"/>
                <w:b w:val="0"/>
                <w:bCs w:val="0"/>
                <w:color w:val="auto"/>
                <w:sz w:val="24"/>
                <w:szCs w:val="24"/>
                <w:highlight w:val="none"/>
                <w:u w:val="none"/>
              </w:rPr>
              <w:t>万（含）例的加</w:t>
            </w:r>
            <w:r>
              <w:rPr>
                <w:rFonts w:hint="eastAsia" w:ascii="宋体" w:hAnsi="宋体" w:eastAsia="宋体" w:cs="宋体"/>
                <w:b w:val="0"/>
                <w:bCs w:val="0"/>
                <w:color w:val="auto"/>
                <w:sz w:val="24"/>
                <w:szCs w:val="24"/>
                <w:highlight w:val="none"/>
                <w:u w:val="none"/>
                <w:lang w:val="en-US" w:eastAsia="zh-CN"/>
              </w:rPr>
              <w:t>0.5</w:t>
            </w:r>
            <w:r>
              <w:rPr>
                <w:rFonts w:hint="eastAsia" w:ascii="宋体" w:hAnsi="宋体" w:eastAsia="宋体" w:cs="宋体"/>
                <w:b w:val="0"/>
                <w:bCs w:val="0"/>
                <w:color w:val="auto"/>
                <w:sz w:val="24"/>
                <w:szCs w:val="24"/>
                <w:highlight w:val="none"/>
                <w:u w:val="none"/>
              </w:rPr>
              <w:t>分（不足</w:t>
            </w:r>
            <w:r>
              <w:rPr>
                <w:rFonts w:hint="eastAsia" w:ascii="宋体" w:hAnsi="宋体" w:eastAsia="宋体" w:cs="宋体"/>
                <w:b w:val="0"/>
                <w:bCs w:val="0"/>
                <w:color w:val="auto"/>
                <w:sz w:val="24"/>
                <w:szCs w:val="24"/>
                <w:highlight w:val="none"/>
                <w:u w:val="none"/>
                <w:lang w:val="en-US" w:eastAsia="zh-CN"/>
              </w:rPr>
              <w:t>100</w:t>
            </w:r>
            <w:r>
              <w:rPr>
                <w:rFonts w:hint="eastAsia" w:ascii="宋体" w:hAnsi="宋体" w:eastAsia="宋体" w:cs="宋体"/>
                <w:b w:val="0"/>
                <w:bCs w:val="0"/>
                <w:color w:val="auto"/>
                <w:sz w:val="24"/>
                <w:szCs w:val="24"/>
                <w:highlight w:val="none"/>
                <w:u w:val="none"/>
              </w:rPr>
              <w:t>万例不得分），</w:t>
            </w:r>
            <w:r>
              <w:rPr>
                <w:rFonts w:hint="eastAsia" w:ascii="宋体" w:hAnsi="宋体" w:eastAsia="宋体" w:cs="宋体"/>
                <w:b w:val="0"/>
                <w:bCs w:val="0"/>
                <w:color w:val="auto"/>
                <w:sz w:val="24"/>
                <w:szCs w:val="24"/>
                <w:highlight w:val="none"/>
                <w:u w:val="none"/>
                <w:lang w:val="en-US" w:eastAsia="zh-CN"/>
              </w:rPr>
              <w:t>满分3分；须</w:t>
            </w:r>
            <w:r>
              <w:rPr>
                <w:rFonts w:hint="eastAsia" w:ascii="宋体" w:hAnsi="宋体" w:eastAsia="宋体" w:cs="宋体"/>
                <w:b w:val="0"/>
                <w:bCs w:val="0"/>
                <w:color w:val="auto"/>
                <w:kern w:val="2"/>
                <w:sz w:val="24"/>
                <w:szCs w:val="24"/>
                <w:highlight w:val="none"/>
                <w:u w:val="none"/>
                <w:lang w:val="en-US" w:eastAsia="zh-CN" w:bidi="ar-SA"/>
              </w:rPr>
              <w:t>提供远程病理系统数据相关截图证明并加盖投标人公章。</w:t>
            </w:r>
          </w:p>
        </w:tc>
      </w:tr>
      <w:tr w14:paraId="72B2829F">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262D1E54">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CN" w:bidi="ar"/>
              </w:rPr>
            </w:pPr>
            <w:r>
              <w:rPr>
                <w:rFonts w:hint="eastAsia" w:ascii="宋体" w:hAnsi="宋体" w:eastAsia="宋体" w:cs="宋体"/>
                <w:b w:val="0"/>
                <w:bCs w:val="0"/>
                <w:color w:val="auto"/>
                <w:sz w:val="24"/>
                <w:szCs w:val="24"/>
                <w:highlight w:val="none"/>
                <w:u w:val="none"/>
                <w:lang w:val="en-US" w:eastAsia="zh-CN"/>
              </w:rPr>
              <w:t>科研能力</w:t>
            </w: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629C42C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0"/>
                <w:sz w:val="24"/>
                <w:szCs w:val="24"/>
                <w:highlight w:val="none"/>
                <w:u w:val="none"/>
                <w:lang w:val="en-US" w:eastAsia="zh-CN" w:bidi="ar"/>
              </w:rPr>
            </w:pPr>
            <w:r>
              <w:rPr>
                <w:rFonts w:hint="eastAsia" w:ascii="宋体" w:hAnsi="宋体" w:eastAsia="宋体" w:cs="宋体"/>
                <w:b w:val="0"/>
                <w:bCs w:val="0"/>
                <w:color w:val="auto"/>
                <w:sz w:val="24"/>
                <w:szCs w:val="24"/>
                <w:highlight w:val="none"/>
                <w:u w:val="none"/>
                <w:lang w:val="en-US" w:eastAsia="zh-CN"/>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3A106D32">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b w:val="0"/>
                <w:bCs w:val="0"/>
                <w:color w:val="auto"/>
                <w:kern w:val="0"/>
                <w:sz w:val="24"/>
                <w:szCs w:val="24"/>
                <w:highlight w:val="none"/>
                <w:u w:val="none"/>
                <w:lang w:val="en-US" w:eastAsia="zh-CN" w:bidi="ar"/>
              </w:rPr>
            </w:pPr>
            <w:r>
              <w:rPr>
                <w:rFonts w:hint="eastAsia" w:ascii="宋体" w:hAnsi="宋体" w:eastAsia="宋体" w:cs="宋体"/>
                <w:b w:val="0"/>
                <w:bCs w:val="0"/>
                <w:color w:val="auto"/>
                <w:sz w:val="24"/>
                <w:szCs w:val="24"/>
                <w:highlight w:val="none"/>
                <w:u w:val="none"/>
              </w:rPr>
              <w:t>投标人具备人工智能辅助诊断技术平台，并</w:t>
            </w:r>
            <w:r>
              <w:rPr>
                <w:rFonts w:hint="eastAsia" w:ascii="宋体" w:hAnsi="宋体" w:eastAsia="宋体" w:cs="宋体"/>
                <w:b w:val="0"/>
                <w:bCs w:val="0"/>
                <w:color w:val="auto"/>
                <w:sz w:val="24"/>
                <w:szCs w:val="24"/>
                <w:highlight w:val="none"/>
                <w:u w:val="none"/>
                <w:lang w:val="en-US" w:eastAsia="zh-CN"/>
              </w:rPr>
              <w:t>对</w:t>
            </w:r>
            <w:r>
              <w:rPr>
                <w:rFonts w:hint="eastAsia" w:ascii="宋体" w:hAnsi="宋体" w:eastAsia="宋体" w:cs="宋体"/>
                <w:b w:val="0"/>
                <w:bCs w:val="0"/>
                <w:color w:val="auto"/>
                <w:sz w:val="24"/>
                <w:szCs w:val="24"/>
                <w:highlight w:val="none"/>
                <w:u w:val="none"/>
              </w:rPr>
              <w:t>获得病理辅助诊断相关的管理系统软件著作权</w:t>
            </w:r>
            <w:r>
              <w:rPr>
                <w:rFonts w:hint="eastAsia" w:ascii="宋体" w:hAnsi="宋体" w:eastAsia="宋体" w:cs="宋体"/>
                <w:b w:val="0"/>
                <w:bCs w:val="0"/>
                <w:color w:val="auto"/>
                <w:sz w:val="24"/>
                <w:szCs w:val="24"/>
                <w:highlight w:val="none"/>
                <w:u w:val="none"/>
                <w:lang w:val="en-US" w:eastAsia="zh-CN"/>
              </w:rPr>
              <w:t>进行评审：具备医学图像传输处理相关系统的得1分；具备病理全流程管理系统相关系统的</w:t>
            </w:r>
            <w:r>
              <w:rPr>
                <w:rFonts w:hint="eastAsia" w:ascii="宋体" w:hAnsi="宋体" w:eastAsia="宋体" w:cs="宋体"/>
                <w:b w:val="0"/>
                <w:bCs w:val="0"/>
                <w:color w:val="auto"/>
                <w:sz w:val="24"/>
                <w:szCs w:val="24"/>
                <w:highlight w:val="none"/>
                <w:u w:val="none"/>
              </w:rPr>
              <w:t>得</w:t>
            </w:r>
            <w:r>
              <w:rPr>
                <w:rFonts w:hint="eastAsia" w:ascii="宋体" w:hAnsi="宋体" w:eastAsia="宋体" w:cs="宋体"/>
                <w:b w:val="0"/>
                <w:bCs w:val="0"/>
                <w:color w:val="auto"/>
                <w:sz w:val="24"/>
                <w:szCs w:val="24"/>
                <w:highlight w:val="none"/>
                <w:u w:val="none"/>
                <w:lang w:val="en-US" w:eastAsia="zh-CN"/>
              </w:rPr>
              <w:t>1</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在此基础上该系统通过公安部信息系统安全等级保护二级或以上的加1分</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满分3分。</w:t>
            </w:r>
            <w:r>
              <w:rPr>
                <w:rFonts w:hint="eastAsia" w:ascii="宋体" w:hAnsi="宋体" w:eastAsia="宋体" w:cs="宋体"/>
                <w:b w:val="0"/>
                <w:bCs w:val="0"/>
                <w:color w:val="auto"/>
                <w:sz w:val="24"/>
                <w:szCs w:val="24"/>
                <w:highlight w:val="none"/>
                <w:u w:val="none"/>
              </w:rPr>
              <w:t>自有须提供</w:t>
            </w:r>
            <w:r>
              <w:rPr>
                <w:rFonts w:hint="eastAsia" w:ascii="宋体" w:hAnsi="宋体" w:eastAsia="宋体" w:cs="宋体"/>
                <w:b w:val="0"/>
                <w:bCs w:val="0"/>
                <w:color w:val="auto"/>
                <w:sz w:val="24"/>
                <w:szCs w:val="24"/>
                <w:highlight w:val="none"/>
                <w:u w:val="none"/>
                <w:lang w:val="en-US" w:eastAsia="zh-CN"/>
              </w:rPr>
              <w:t>相关</w:t>
            </w:r>
            <w:r>
              <w:rPr>
                <w:rFonts w:hint="eastAsia" w:ascii="宋体" w:hAnsi="宋体" w:eastAsia="宋体" w:cs="宋体"/>
                <w:b w:val="0"/>
                <w:bCs w:val="0"/>
                <w:color w:val="auto"/>
                <w:sz w:val="24"/>
                <w:szCs w:val="24"/>
                <w:highlight w:val="none"/>
                <w:u w:val="none"/>
              </w:rPr>
              <w:t>计算机软件著作权登记证书复印件</w:t>
            </w:r>
            <w:r>
              <w:rPr>
                <w:rFonts w:hint="eastAsia" w:ascii="宋体" w:hAnsi="宋体" w:eastAsia="宋体" w:cs="宋体"/>
                <w:b w:val="0"/>
                <w:bCs w:val="0"/>
                <w:color w:val="auto"/>
                <w:sz w:val="24"/>
                <w:szCs w:val="24"/>
                <w:highlight w:val="none"/>
                <w:u w:val="none"/>
                <w:lang w:val="en-US" w:eastAsia="zh-CN"/>
              </w:rPr>
              <w:t>及信息系统安全等级保护相关证明资料</w:t>
            </w:r>
            <w:r>
              <w:rPr>
                <w:rFonts w:hint="eastAsia" w:ascii="宋体" w:hAnsi="宋体" w:eastAsia="宋体" w:cs="宋体"/>
                <w:b w:val="0"/>
                <w:bCs w:val="0"/>
                <w:color w:val="auto"/>
                <w:sz w:val="24"/>
                <w:szCs w:val="24"/>
                <w:highlight w:val="none"/>
                <w:u w:val="none"/>
              </w:rPr>
              <w:t>并加盖</w:t>
            </w:r>
            <w:r>
              <w:rPr>
                <w:rFonts w:hint="eastAsia" w:ascii="宋体" w:hAnsi="宋体" w:eastAsia="宋体" w:cs="宋体"/>
                <w:b w:val="0"/>
                <w:bCs w:val="0"/>
                <w:color w:val="auto"/>
                <w:sz w:val="24"/>
                <w:szCs w:val="24"/>
                <w:highlight w:val="none"/>
                <w:u w:val="none"/>
                <w:lang w:val="en-US" w:eastAsia="zh-CN"/>
              </w:rPr>
              <w:t>投标人</w:t>
            </w:r>
            <w:r>
              <w:rPr>
                <w:rFonts w:hint="eastAsia" w:ascii="宋体" w:hAnsi="宋体" w:eastAsia="宋体" w:cs="宋体"/>
                <w:b w:val="0"/>
                <w:bCs w:val="0"/>
                <w:color w:val="auto"/>
                <w:sz w:val="24"/>
                <w:szCs w:val="24"/>
                <w:highlight w:val="none"/>
                <w:u w:val="none"/>
              </w:rPr>
              <w:t>公章</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rPr>
              <w:t>租赁或购买须提供（租赁或购买合同）和</w:t>
            </w:r>
            <w:r>
              <w:rPr>
                <w:rFonts w:hint="eastAsia" w:ascii="宋体" w:hAnsi="宋体" w:eastAsia="宋体" w:cs="宋体"/>
                <w:b w:val="0"/>
                <w:bCs w:val="0"/>
                <w:color w:val="auto"/>
                <w:sz w:val="24"/>
                <w:szCs w:val="24"/>
                <w:highlight w:val="none"/>
                <w:u w:val="none"/>
                <w:lang w:val="en-US" w:eastAsia="zh-CN"/>
              </w:rPr>
              <w:t>相关</w:t>
            </w:r>
            <w:r>
              <w:rPr>
                <w:rFonts w:hint="eastAsia" w:ascii="宋体" w:hAnsi="宋体" w:eastAsia="宋体" w:cs="宋体"/>
                <w:b w:val="0"/>
                <w:bCs w:val="0"/>
                <w:color w:val="auto"/>
                <w:sz w:val="24"/>
                <w:szCs w:val="24"/>
                <w:highlight w:val="none"/>
                <w:u w:val="none"/>
              </w:rPr>
              <w:t>计算机软件著作权登记证书复印件</w:t>
            </w:r>
            <w:r>
              <w:rPr>
                <w:rFonts w:hint="eastAsia" w:ascii="宋体" w:hAnsi="宋体" w:eastAsia="宋体" w:cs="宋体"/>
                <w:b w:val="0"/>
                <w:bCs w:val="0"/>
                <w:color w:val="auto"/>
                <w:sz w:val="24"/>
                <w:szCs w:val="24"/>
                <w:highlight w:val="none"/>
                <w:u w:val="none"/>
                <w:lang w:val="en-US" w:eastAsia="zh-CN"/>
              </w:rPr>
              <w:t>及信息系统安全等级保护相关证明资料</w:t>
            </w:r>
            <w:r>
              <w:rPr>
                <w:rFonts w:hint="eastAsia" w:ascii="宋体" w:hAnsi="宋体" w:eastAsia="宋体" w:cs="宋体"/>
                <w:b w:val="0"/>
                <w:bCs w:val="0"/>
                <w:color w:val="auto"/>
                <w:sz w:val="24"/>
                <w:szCs w:val="24"/>
                <w:highlight w:val="none"/>
                <w:u w:val="none"/>
              </w:rPr>
              <w:t>并加盖</w:t>
            </w:r>
            <w:r>
              <w:rPr>
                <w:rFonts w:hint="eastAsia" w:ascii="宋体" w:hAnsi="宋体" w:eastAsia="宋体" w:cs="宋体"/>
                <w:b w:val="0"/>
                <w:bCs w:val="0"/>
                <w:color w:val="auto"/>
                <w:sz w:val="24"/>
                <w:szCs w:val="24"/>
                <w:highlight w:val="none"/>
                <w:u w:val="none"/>
                <w:lang w:val="en-US" w:eastAsia="zh-CN"/>
              </w:rPr>
              <w:t>投标人</w:t>
            </w:r>
            <w:r>
              <w:rPr>
                <w:rFonts w:hint="eastAsia" w:ascii="宋体" w:hAnsi="宋体" w:eastAsia="宋体" w:cs="宋体"/>
                <w:b w:val="0"/>
                <w:bCs w:val="0"/>
                <w:color w:val="auto"/>
                <w:sz w:val="24"/>
                <w:szCs w:val="24"/>
                <w:highlight w:val="none"/>
                <w:u w:val="none"/>
              </w:rPr>
              <w:t>公章。</w:t>
            </w:r>
          </w:p>
        </w:tc>
      </w:tr>
      <w:tr w14:paraId="6D542E9D">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061B12EC">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设备设施方案</w:t>
            </w:r>
          </w:p>
        </w:tc>
        <w:tc>
          <w:tcPr>
            <w:tcW w:w="368"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5342AC59">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4.00</w:t>
            </w:r>
          </w:p>
        </w:tc>
        <w:tc>
          <w:tcPr>
            <w:tcW w:w="3996"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34497D0D">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投标人针对</w:t>
            </w:r>
            <w:r>
              <w:rPr>
                <w:rFonts w:hint="eastAsia" w:ascii="宋体" w:hAnsi="宋体" w:eastAsia="宋体" w:cs="宋体"/>
                <w:color w:val="auto"/>
                <w:sz w:val="24"/>
                <w:szCs w:val="24"/>
                <w:highlight w:val="none"/>
              </w:rPr>
              <w:t>“区域检验、病理中心设备配置/规划/升级及维保要求”中列明</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“供应商须投入的设备、设施清单”</w:t>
            </w:r>
            <w:r>
              <w:rPr>
                <w:rFonts w:hint="eastAsia" w:ascii="宋体" w:hAnsi="宋体" w:eastAsia="宋体" w:cs="宋体"/>
                <w:color w:val="auto"/>
                <w:sz w:val="24"/>
                <w:szCs w:val="24"/>
                <w:highlight w:val="none"/>
                <w:lang w:val="en-US" w:eastAsia="zh-CN"/>
              </w:rPr>
              <w:t>提供相应的设备设施方案</w:t>
            </w:r>
            <w:r>
              <w:rPr>
                <w:rFonts w:hint="eastAsia" w:ascii="宋体" w:hAnsi="宋体" w:eastAsia="宋体" w:cs="宋体"/>
                <w:color w:val="auto"/>
                <w:sz w:val="24"/>
                <w:szCs w:val="24"/>
                <w:highlight w:val="none"/>
              </w:rPr>
              <w:t>，投标人提供的设备设施方案</w:t>
            </w:r>
            <w:r>
              <w:rPr>
                <w:rFonts w:hint="eastAsia" w:ascii="宋体" w:hAnsi="宋体" w:eastAsia="宋体" w:cs="宋体"/>
                <w:color w:val="auto"/>
                <w:sz w:val="24"/>
                <w:szCs w:val="24"/>
                <w:highlight w:val="none"/>
                <w:lang w:val="en-US" w:eastAsia="zh-CN"/>
              </w:rPr>
              <w:t>在</w:t>
            </w:r>
            <w:r>
              <w:rPr>
                <w:rFonts w:hint="eastAsia" w:ascii="宋体" w:hAnsi="宋体" w:eastAsia="宋体" w:cs="宋体"/>
                <w:color w:val="auto"/>
                <w:sz w:val="24"/>
                <w:szCs w:val="24"/>
                <w:highlight w:val="none"/>
              </w:rPr>
              <w:t>符合招标文件基础规格/参数要求</w:t>
            </w:r>
            <w:r>
              <w:rPr>
                <w:rFonts w:hint="eastAsia" w:ascii="宋体" w:hAnsi="宋体" w:eastAsia="宋体" w:cs="宋体"/>
                <w:color w:val="auto"/>
                <w:sz w:val="24"/>
                <w:szCs w:val="24"/>
                <w:highlight w:val="none"/>
                <w:lang w:val="en-US" w:eastAsia="zh-CN"/>
              </w:rPr>
              <w:t>的基础上，由评标委员会根据各投标人设备实施方案中拟投入设备的品牌、型号、</w:t>
            </w:r>
            <w:r>
              <w:rPr>
                <w:rFonts w:hint="eastAsia" w:ascii="宋体" w:hAnsi="宋体" w:eastAsia="宋体" w:cs="宋体"/>
                <w:color w:val="auto"/>
                <w:sz w:val="24"/>
                <w:szCs w:val="24"/>
                <w:highlight w:val="none"/>
              </w:rPr>
              <w:t>安装调试方案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性能保障方案</w:t>
            </w:r>
            <w:r>
              <w:rPr>
                <w:rFonts w:hint="eastAsia" w:ascii="宋体" w:hAnsi="宋体" w:eastAsia="宋体" w:cs="宋体"/>
                <w:color w:val="auto"/>
                <w:sz w:val="24"/>
                <w:szCs w:val="24"/>
                <w:highlight w:val="none"/>
                <w:lang w:val="en-US" w:eastAsia="zh-CN"/>
              </w:rPr>
              <w:t>及维保计划等进行横向对比评分</w:t>
            </w:r>
            <w:r>
              <w:rPr>
                <w:rFonts w:hint="eastAsia" w:ascii="宋体" w:hAnsi="宋体" w:eastAsia="宋体" w:cs="宋体"/>
                <w:color w:val="auto"/>
                <w:sz w:val="24"/>
                <w:szCs w:val="24"/>
                <w:highlight w:val="none"/>
              </w:rPr>
              <w:t>：</w:t>
            </w:r>
          </w:p>
          <w:p w14:paraId="1D7092D6">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拟投入的设备品牌、型号在市场应用度、行业口碑、功能宽度、性能深度等方面总体属于行业一流水准的</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且</w:t>
            </w:r>
            <w:r>
              <w:rPr>
                <w:rFonts w:hint="eastAsia" w:ascii="宋体" w:hAnsi="宋体" w:eastAsia="宋体" w:cs="宋体"/>
                <w:color w:val="auto"/>
                <w:sz w:val="24"/>
                <w:szCs w:val="24"/>
                <w:highlight w:val="none"/>
              </w:rPr>
              <w:t>提供的设备安装调试方案、性能保障方案、维保计划全面详细，适配检验/病理业务开展及未来五年发展需求，实施方法科学可行，得</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p w14:paraId="7F6D1A27">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拟投入的设备品牌、型号在市场应用度、行业口碑、功能宽度、性能深度等方面总体属于行业中游水准的</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安装调试方案、性能保障方案等核心内容基本完整但针对性一般，可满足检验/病理基础业务需求，实施方法具备基本可行性，得</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14:paraId="2B68284A">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拟投入的设备品牌、型号在市场应用度、行业口碑、功能宽度、性能深度等方面总体属于行业中下游水准或部分设备明显属于行业末流水准的</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安装调试方案、性能保障方案等内容不完整，实施可行性较差</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w:t>
            </w:r>
          </w:p>
          <w:p w14:paraId="740705A8">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b/>
                <w:color w:val="auto"/>
                <w:kern w:val="2"/>
                <w:sz w:val="24"/>
                <w:szCs w:val="24"/>
                <w:highlight w:val="none"/>
                <w:lang w:val="en-US" w:eastAsia="zh-CN" w:bidi="ar-SA"/>
              </w:rPr>
            </w:pPr>
            <w:r>
              <w:rPr>
                <w:rFonts w:hint="eastAsia" w:ascii="宋体" w:hAnsi="宋体" w:eastAsia="宋体" w:cs="宋体"/>
                <w:b/>
                <w:color w:val="auto"/>
                <w:sz w:val="24"/>
                <w:szCs w:val="24"/>
                <w:highlight w:val="none"/>
              </w:rPr>
              <w:t>注：1.投标人</w:t>
            </w:r>
            <w:r>
              <w:rPr>
                <w:rFonts w:hint="eastAsia" w:ascii="宋体" w:hAnsi="宋体" w:eastAsia="宋体" w:cs="宋体"/>
                <w:b/>
                <w:color w:val="auto"/>
                <w:sz w:val="24"/>
                <w:szCs w:val="24"/>
                <w:highlight w:val="none"/>
                <w:lang w:val="en-US" w:eastAsia="zh-CN"/>
              </w:rPr>
              <w:t>提供的“设备实施方案”中《拟投入设备清单》应当按照招标文件提供的格式填写</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格式详见附件2</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，且带*的核心设备还应当</w:t>
            </w:r>
            <w:r>
              <w:rPr>
                <w:rFonts w:hint="eastAsia" w:ascii="宋体" w:hAnsi="宋体" w:eastAsia="宋体" w:cs="宋体"/>
                <w:b/>
                <w:color w:val="auto"/>
                <w:sz w:val="24"/>
                <w:szCs w:val="24"/>
                <w:highlight w:val="none"/>
              </w:rPr>
              <w:t>须提供</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拟投入</w:t>
            </w:r>
            <w:r>
              <w:rPr>
                <w:rFonts w:hint="eastAsia" w:ascii="宋体" w:hAnsi="宋体" w:eastAsia="宋体" w:cs="宋体"/>
                <w:b/>
                <w:color w:val="auto"/>
                <w:sz w:val="24"/>
                <w:szCs w:val="24"/>
                <w:highlight w:val="none"/>
              </w:rPr>
              <w:t>设备规格/参数响应表</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格式详见附件2</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以便评标委员会及采购人分辨所提供设备的性能档次。</w:t>
            </w:r>
            <w:r>
              <w:rPr>
                <w:rFonts w:hint="eastAsia" w:ascii="宋体" w:hAnsi="宋体" w:eastAsia="宋体" w:cs="宋体"/>
                <w:b/>
                <w:color w:val="auto"/>
                <w:sz w:val="24"/>
                <w:szCs w:val="24"/>
                <w:highlight w:val="none"/>
              </w:rPr>
              <w:t>2.涉及核心设备的关键参数不响应或</w:t>
            </w:r>
            <w:r>
              <w:rPr>
                <w:rFonts w:hint="eastAsia" w:ascii="宋体" w:hAnsi="宋体" w:eastAsia="宋体" w:cs="宋体"/>
                <w:b/>
                <w:color w:val="auto"/>
                <w:sz w:val="24"/>
                <w:szCs w:val="24"/>
                <w:highlight w:val="none"/>
                <w:lang w:val="en-US" w:eastAsia="zh-CN"/>
              </w:rPr>
              <w:t>设备种类/数量</w:t>
            </w:r>
            <w:r>
              <w:rPr>
                <w:rFonts w:hint="eastAsia" w:ascii="宋体" w:hAnsi="宋体" w:eastAsia="宋体" w:cs="宋体"/>
                <w:b/>
                <w:color w:val="auto"/>
                <w:sz w:val="24"/>
                <w:szCs w:val="24"/>
                <w:highlight w:val="none"/>
              </w:rPr>
              <w:t>未匹配</w:t>
            </w:r>
            <w:r>
              <w:rPr>
                <w:rFonts w:hint="eastAsia" w:ascii="宋体" w:hAnsi="宋体" w:eastAsia="宋体" w:cs="宋体"/>
                <w:b/>
                <w:color w:val="auto"/>
                <w:sz w:val="24"/>
                <w:szCs w:val="24"/>
                <w:highlight w:val="none"/>
                <w:lang w:val="en-US" w:eastAsia="zh-CN"/>
              </w:rPr>
              <w:t>招标</w:t>
            </w:r>
            <w:r>
              <w:rPr>
                <w:rFonts w:hint="eastAsia" w:ascii="宋体" w:hAnsi="宋体" w:eastAsia="宋体" w:cs="宋体"/>
                <w:b/>
                <w:color w:val="auto"/>
                <w:sz w:val="24"/>
                <w:szCs w:val="24"/>
                <w:highlight w:val="none"/>
              </w:rPr>
              <w:t>文件清单要求的，本项不得分；</w:t>
            </w:r>
          </w:p>
        </w:tc>
      </w:tr>
      <w:tr w14:paraId="4C6D9480">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restart"/>
            <w:tcBorders>
              <w:top w:val="single" w:color="666666" w:sz="6" w:space="0"/>
              <w:left w:val="single" w:color="666666" w:sz="6" w:space="0"/>
              <w:right w:val="single" w:color="666666" w:sz="6" w:space="0"/>
            </w:tcBorders>
            <w:shd w:val="clear" w:color="auto" w:fill="FFFFFF"/>
            <w:noWrap w:val="0"/>
            <w:vAlign w:val="center"/>
          </w:tcPr>
          <w:p w14:paraId="2D00E7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承诺函</w:t>
            </w: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7E83AA9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79639B0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rPr>
              <w:t>投标人承诺：“服务期间若采购人开展新项目，中标人应在采购人规定的时限内提供设备支持，确保采购人的发展需求。”</w:t>
            </w:r>
            <w:r>
              <w:rPr>
                <w:rFonts w:hint="eastAsia" w:ascii="宋体" w:hAnsi="宋体" w:eastAsia="宋体" w:cs="宋体"/>
                <w:color w:val="auto"/>
                <w:kern w:val="0"/>
                <w:sz w:val="24"/>
                <w:szCs w:val="24"/>
                <w:highlight w:val="none"/>
                <w:lang w:eastAsia="zh-CN"/>
              </w:rPr>
              <w:t>的</w:t>
            </w:r>
            <w:r>
              <w:rPr>
                <w:rFonts w:hint="eastAsia" w:ascii="宋体" w:hAnsi="宋体" w:eastAsia="宋体" w:cs="宋体"/>
                <w:color w:val="auto"/>
                <w:kern w:val="0"/>
                <w:sz w:val="24"/>
                <w:szCs w:val="24"/>
                <w:highlight w:val="none"/>
              </w:rPr>
              <w:t>得3分，须提供承诺函</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格式自拟</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，未提供</w:t>
            </w:r>
            <w:r>
              <w:rPr>
                <w:rFonts w:hint="eastAsia" w:ascii="宋体" w:hAnsi="宋体" w:eastAsia="宋体" w:cs="宋体"/>
                <w:color w:val="auto"/>
                <w:kern w:val="0"/>
                <w:sz w:val="24"/>
                <w:szCs w:val="24"/>
                <w:highlight w:val="none"/>
                <w:lang w:val="en-US" w:eastAsia="zh-CN"/>
              </w:rPr>
              <w:t>或未按要求</w:t>
            </w:r>
            <w:r>
              <w:rPr>
                <w:rFonts w:hint="eastAsia" w:ascii="宋体" w:hAnsi="宋体" w:eastAsia="宋体" w:cs="宋体"/>
                <w:color w:val="auto"/>
                <w:kern w:val="0"/>
                <w:sz w:val="24"/>
                <w:szCs w:val="24"/>
                <w:highlight w:val="none"/>
              </w:rPr>
              <w:t>承诺</w:t>
            </w:r>
            <w:r>
              <w:rPr>
                <w:rFonts w:hint="eastAsia" w:ascii="宋体" w:hAnsi="宋体" w:eastAsia="宋体" w:cs="宋体"/>
                <w:color w:val="auto"/>
                <w:kern w:val="0"/>
                <w:sz w:val="24"/>
                <w:szCs w:val="24"/>
                <w:highlight w:val="none"/>
                <w:lang w:eastAsia="zh-CN"/>
              </w:rPr>
              <w:t>的</w:t>
            </w:r>
            <w:r>
              <w:rPr>
                <w:rFonts w:hint="eastAsia" w:ascii="宋体" w:hAnsi="宋体" w:eastAsia="宋体" w:cs="宋体"/>
                <w:color w:val="auto"/>
                <w:kern w:val="0"/>
                <w:sz w:val="24"/>
                <w:szCs w:val="24"/>
                <w:highlight w:val="none"/>
              </w:rPr>
              <w:t>不得分。</w:t>
            </w:r>
          </w:p>
        </w:tc>
      </w:tr>
      <w:tr w14:paraId="4F6C5BCB">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4" w:type="pct"/>
            <w:vMerge w:val="continue"/>
            <w:tcBorders>
              <w:left w:val="single" w:color="666666" w:sz="6" w:space="0"/>
              <w:right w:val="single" w:color="666666" w:sz="6" w:space="0"/>
            </w:tcBorders>
            <w:shd w:val="clear" w:color="auto" w:fill="FFFFFF"/>
            <w:noWrap w:val="0"/>
            <w:vAlign w:val="center"/>
          </w:tcPr>
          <w:p w14:paraId="668437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
              </w:rPr>
            </w:pPr>
          </w:p>
        </w:tc>
        <w:tc>
          <w:tcPr>
            <w:tcW w:w="368"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721B054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3.00</w:t>
            </w:r>
          </w:p>
        </w:tc>
        <w:tc>
          <w:tcPr>
            <w:tcW w:w="3996"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3DBF844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rPr>
              <w:t>投标人承诺</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在履约过程中若有出现安全事故，其责任及相应的赔偿均由中标人自行承担，</w:t>
            </w:r>
            <w:r>
              <w:rPr>
                <w:rFonts w:hint="eastAsia" w:ascii="宋体" w:hAnsi="宋体" w:eastAsia="宋体" w:cs="宋体"/>
                <w:color w:val="auto"/>
                <w:kern w:val="0"/>
                <w:sz w:val="24"/>
                <w:szCs w:val="24"/>
                <w:highlight w:val="none"/>
                <w:lang w:val="en-US" w:eastAsia="zh-CN"/>
              </w:rPr>
              <w:t>采购人</w:t>
            </w:r>
            <w:r>
              <w:rPr>
                <w:rFonts w:hint="eastAsia" w:ascii="宋体" w:hAnsi="宋体" w:eastAsia="宋体" w:cs="宋体"/>
                <w:color w:val="auto"/>
                <w:kern w:val="0"/>
                <w:sz w:val="24"/>
                <w:szCs w:val="24"/>
                <w:highlight w:val="none"/>
              </w:rPr>
              <w:t>不承担所有责任及义务</w:t>
            </w:r>
            <w:r>
              <w:rPr>
                <w:rFonts w:hint="eastAsia" w:ascii="宋体" w:hAnsi="宋体" w:eastAsia="宋体" w:cs="宋体"/>
                <w:color w:val="auto"/>
                <w:kern w:val="0"/>
                <w:sz w:val="24"/>
                <w:szCs w:val="24"/>
                <w:highlight w:val="none"/>
                <w:lang w:eastAsia="zh-CN"/>
              </w:rPr>
              <w:t>的</w:t>
            </w:r>
            <w:r>
              <w:rPr>
                <w:rFonts w:hint="eastAsia" w:ascii="宋体" w:hAnsi="宋体" w:eastAsia="宋体" w:cs="宋体"/>
                <w:color w:val="auto"/>
                <w:kern w:val="0"/>
                <w:sz w:val="24"/>
                <w:szCs w:val="24"/>
                <w:highlight w:val="none"/>
                <w:lang w:val="en-US" w:eastAsia="zh-CN"/>
              </w:rPr>
              <w:t>得3分；</w:t>
            </w:r>
            <w:r>
              <w:rPr>
                <w:rFonts w:hint="eastAsia" w:ascii="宋体" w:hAnsi="宋体" w:eastAsia="宋体" w:cs="宋体"/>
                <w:color w:val="auto"/>
                <w:kern w:val="0"/>
                <w:sz w:val="24"/>
                <w:szCs w:val="24"/>
                <w:highlight w:val="none"/>
              </w:rPr>
              <w:t>须提供承诺函</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格式自拟</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未提供</w:t>
            </w:r>
            <w:r>
              <w:rPr>
                <w:rFonts w:hint="eastAsia" w:ascii="宋体" w:hAnsi="宋体" w:eastAsia="宋体" w:cs="宋体"/>
                <w:color w:val="auto"/>
                <w:kern w:val="0"/>
                <w:sz w:val="24"/>
                <w:szCs w:val="24"/>
                <w:highlight w:val="none"/>
                <w:lang w:val="en-US" w:eastAsia="zh-CN"/>
              </w:rPr>
              <w:t>或未按要求</w:t>
            </w:r>
            <w:r>
              <w:rPr>
                <w:rFonts w:hint="eastAsia" w:ascii="宋体" w:hAnsi="宋体" w:eastAsia="宋体" w:cs="宋体"/>
                <w:color w:val="auto"/>
                <w:kern w:val="0"/>
                <w:sz w:val="24"/>
                <w:szCs w:val="24"/>
                <w:highlight w:val="none"/>
              </w:rPr>
              <w:t>承诺</w:t>
            </w:r>
            <w:r>
              <w:rPr>
                <w:rFonts w:hint="eastAsia" w:ascii="宋体" w:hAnsi="宋体" w:eastAsia="宋体" w:cs="宋体"/>
                <w:color w:val="auto"/>
                <w:kern w:val="0"/>
                <w:sz w:val="24"/>
                <w:szCs w:val="24"/>
                <w:highlight w:val="none"/>
                <w:lang w:eastAsia="zh-CN"/>
              </w:rPr>
              <w:t>的</w:t>
            </w:r>
            <w:r>
              <w:rPr>
                <w:rFonts w:hint="eastAsia" w:ascii="宋体" w:hAnsi="宋体" w:eastAsia="宋体" w:cs="宋体"/>
                <w:color w:val="auto"/>
                <w:kern w:val="0"/>
                <w:sz w:val="24"/>
                <w:szCs w:val="24"/>
                <w:highlight w:val="none"/>
              </w:rPr>
              <w:t>不得分。</w:t>
            </w:r>
          </w:p>
        </w:tc>
      </w:tr>
      <w:tr w14:paraId="65CE387E">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1162" w:type="dxa"/>
            <w:vMerge w:val="restart"/>
            <w:tcBorders>
              <w:left w:val="single" w:color="666666" w:sz="6" w:space="0"/>
              <w:right w:val="single" w:color="666666" w:sz="6" w:space="0"/>
            </w:tcBorders>
            <w:shd w:val="clear" w:color="auto" w:fill="FFFFFF"/>
            <w:noWrap w:val="0"/>
            <w:vAlign w:val="center"/>
          </w:tcPr>
          <w:p w14:paraId="3DF69C5D">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sz w:val="24"/>
                <w:szCs w:val="24"/>
                <w:highlight w:val="none"/>
                <w:u w:val="none"/>
              </w:rPr>
            </w:pPr>
            <w:r>
              <w:rPr>
                <w:rFonts w:hint="eastAsia" w:ascii="宋体" w:hAnsi="宋体" w:eastAsia="宋体" w:cs="宋体"/>
                <w:b w:val="0"/>
                <w:bCs w:val="0"/>
                <w:color w:val="auto"/>
                <w:sz w:val="24"/>
                <w:szCs w:val="24"/>
                <w:highlight w:val="none"/>
                <w:u w:val="none"/>
              </w:rPr>
              <w:t>项目配备技术人员情况</w:t>
            </w:r>
          </w:p>
          <w:p w14:paraId="14D27ADB">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
              </w:rPr>
            </w:pPr>
          </w:p>
        </w:tc>
        <w:tc>
          <w:tcPr>
            <w:tcW w:w="676" w:type="dxa"/>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6BAAB7B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b w:val="0"/>
                <w:bCs w:val="0"/>
                <w:color w:val="auto"/>
                <w:sz w:val="24"/>
                <w:szCs w:val="24"/>
                <w:highlight w:val="none"/>
                <w:u w:val="none"/>
                <w:lang w:val="en-US" w:eastAsia="zh-CN"/>
              </w:rPr>
              <w:t>3.00</w:t>
            </w:r>
          </w:p>
        </w:tc>
        <w:tc>
          <w:tcPr>
            <w:tcW w:w="7322" w:type="dxa"/>
            <w:tcBorders>
              <w:top w:val="single" w:color="666666" w:sz="6" w:space="0"/>
              <w:left w:val="single" w:color="666666" w:sz="6" w:space="0"/>
              <w:bottom w:val="single" w:color="666666" w:sz="6" w:space="0"/>
              <w:right w:val="single" w:color="666666" w:sz="6" w:space="0"/>
            </w:tcBorders>
            <w:shd w:val="clear" w:color="auto" w:fill="FFFFFF"/>
            <w:noWrap w:val="0"/>
            <w:vAlign w:val="top"/>
          </w:tcPr>
          <w:p w14:paraId="5B020ACE">
            <w:pPr>
              <w:pStyle w:val="3"/>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rPr>
            </w:pPr>
            <w:r>
              <w:rPr>
                <w:rFonts w:hint="eastAsia" w:ascii="宋体" w:hAnsi="宋体" w:eastAsia="宋体" w:cs="宋体"/>
                <w:b w:val="0"/>
                <w:bCs w:val="0"/>
                <w:color w:val="auto"/>
                <w:sz w:val="24"/>
                <w:szCs w:val="24"/>
                <w:highlight w:val="none"/>
                <w:u w:val="none"/>
                <w:lang w:val="en-US" w:eastAsia="zh-CN"/>
              </w:rPr>
              <w:t>1.</w:t>
            </w:r>
            <w:r>
              <w:rPr>
                <w:rFonts w:hint="eastAsia" w:ascii="宋体" w:hAnsi="宋体" w:eastAsia="宋体" w:cs="宋体"/>
                <w:b w:val="0"/>
                <w:bCs w:val="0"/>
                <w:color w:val="auto"/>
                <w:sz w:val="24"/>
                <w:szCs w:val="24"/>
                <w:highlight w:val="none"/>
                <w:u w:val="none"/>
              </w:rPr>
              <w:t>投标人拟安排本项目负责人具备病理学主任医师资格证书的得</w:t>
            </w:r>
            <w:r>
              <w:rPr>
                <w:rFonts w:hint="eastAsia" w:ascii="宋体" w:hAnsi="宋体" w:eastAsia="宋体" w:cs="宋体"/>
                <w:b w:val="0"/>
                <w:bCs w:val="0"/>
                <w:color w:val="auto"/>
                <w:sz w:val="24"/>
                <w:szCs w:val="24"/>
                <w:highlight w:val="none"/>
                <w:u w:val="none"/>
                <w:lang w:val="en-US" w:eastAsia="zh-CN"/>
              </w:rPr>
              <w:t>2</w:t>
            </w:r>
            <w:r>
              <w:rPr>
                <w:rFonts w:hint="eastAsia" w:ascii="宋体" w:hAnsi="宋体" w:eastAsia="宋体" w:cs="宋体"/>
                <w:b w:val="0"/>
                <w:bCs w:val="0"/>
                <w:color w:val="auto"/>
                <w:sz w:val="24"/>
                <w:szCs w:val="24"/>
                <w:highlight w:val="none"/>
                <w:u w:val="none"/>
              </w:rPr>
              <w:t>分；具备病理学相关专业博士或以上学历的</w:t>
            </w:r>
            <w:r>
              <w:rPr>
                <w:rFonts w:hint="eastAsia" w:ascii="宋体" w:hAnsi="宋体" w:eastAsia="宋体" w:cs="宋体"/>
                <w:b w:val="0"/>
                <w:bCs w:val="0"/>
                <w:color w:val="auto"/>
                <w:sz w:val="24"/>
                <w:szCs w:val="24"/>
                <w:highlight w:val="none"/>
                <w:u w:val="none"/>
                <w:lang w:val="en-US" w:eastAsia="zh-CN"/>
              </w:rPr>
              <w:t>加</w:t>
            </w:r>
            <w:r>
              <w:rPr>
                <w:rFonts w:hint="eastAsia" w:ascii="宋体" w:hAnsi="宋体" w:eastAsia="宋体" w:cs="宋体"/>
                <w:b w:val="0"/>
                <w:bCs w:val="0"/>
                <w:color w:val="auto"/>
                <w:sz w:val="24"/>
                <w:szCs w:val="24"/>
                <w:highlight w:val="none"/>
                <w:u w:val="none"/>
              </w:rPr>
              <w:t>1分</w:t>
            </w:r>
            <w:r>
              <w:rPr>
                <w:rFonts w:hint="eastAsia" w:ascii="宋体" w:hAnsi="宋体" w:eastAsia="宋体" w:cs="宋体"/>
                <w:b w:val="0"/>
                <w:bCs w:val="0"/>
                <w:color w:val="auto"/>
                <w:sz w:val="24"/>
                <w:szCs w:val="24"/>
                <w:highlight w:val="none"/>
                <w:u w:val="none"/>
                <w:lang w:val="en-US" w:eastAsia="zh-CN"/>
              </w:rPr>
              <w:t>；满分3分；须</w:t>
            </w:r>
            <w:r>
              <w:rPr>
                <w:rFonts w:hint="eastAsia" w:ascii="宋体" w:hAnsi="宋体" w:eastAsia="宋体" w:cs="宋体"/>
                <w:b w:val="0"/>
                <w:bCs w:val="0"/>
                <w:color w:val="auto"/>
                <w:sz w:val="24"/>
                <w:szCs w:val="24"/>
                <w:highlight w:val="none"/>
                <w:u w:val="none"/>
              </w:rPr>
              <w:t>提供上述相关证明材料复印件及</w:t>
            </w:r>
            <w:r>
              <w:rPr>
                <w:rFonts w:hint="eastAsia" w:ascii="宋体" w:hAnsi="宋体" w:eastAsia="宋体" w:cs="宋体"/>
                <w:b w:val="0"/>
                <w:bCs w:val="0"/>
                <w:color w:val="auto"/>
                <w:sz w:val="24"/>
                <w:szCs w:val="24"/>
                <w:highlight w:val="none"/>
                <w:u w:val="none"/>
                <w:lang w:val="en-US" w:eastAsia="zh-CN"/>
              </w:rPr>
              <w:t>开标前最</w:t>
            </w:r>
            <w:r>
              <w:rPr>
                <w:rFonts w:hint="eastAsia" w:ascii="宋体" w:hAnsi="宋体" w:eastAsia="宋体" w:cs="宋体"/>
                <w:b w:val="0"/>
                <w:bCs w:val="0"/>
                <w:color w:val="auto"/>
                <w:sz w:val="24"/>
                <w:szCs w:val="24"/>
                <w:highlight w:val="none"/>
                <w:u w:val="none"/>
              </w:rPr>
              <w:t>近</w:t>
            </w:r>
            <w:r>
              <w:rPr>
                <w:rFonts w:hint="eastAsia" w:ascii="宋体" w:hAnsi="宋体" w:eastAsia="宋体" w:cs="宋体"/>
                <w:b w:val="0"/>
                <w:bCs w:val="0"/>
                <w:color w:val="auto"/>
                <w:sz w:val="24"/>
                <w:szCs w:val="24"/>
                <w:highlight w:val="none"/>
                <w:u w:val="none"/>
                <w:lang w:val="en-US" w:eastAsia="zh-CN"/>
              </w:rPr>
              <w:t>6</w:t>
            </w:r>
            <w:r>
              <w:rPr>
                <w:rFonts w:hint="eastAsia" w:ascii="宋体" w:hAnsi="宋体" w:eastAsia="宋体" w:cs="宋体"/>
                <w:b w:val="0"/>
                <w:bCs w:val="0"/>
                <w:color w:val="auto"/>
                <w:sz w:val="24"/>
                <w:szCs w:val="24"/>
                <w:highlight w:val="none"/>
                <w:u w:val="none"/>
              </w:rPr>
              <w:t>个月</w:t>
            </w:r>
            <w:r>
              <w:rPr>
                <w:rFonts w:hint="eastAsia" w:ascii="宋体" w:hAnsi="宋体" w:eastAsia="宋体" w:cs="宋体"/>
                <w:b w:val="0"/>
                <w:bCs w:val="0"/>
                <w:color w:val="auto"/>
                <w:sz w:val="24"/>
                <w:szCs w:val="24"/>
                <w:highlight w:val="none"/>
                <w:u w:val="none"/>
                <w:lang w:val="en-US" w:eastAsia="zh-CN"/>
              </w:rPr>
              <w:t>内任意1个月（不含投标当月）</w:t>
            </w:r>
            <w:r>
              <w:rPr>
                <w:rFonts w:hint="eastAsia" w:ascii="宋体" w:hAnsi="宋体" w:eastAsia="宋体" w:cs="宋体"/>
                <w:b w:val="0"/>
                <w:bCs w:val="0"/>
                <w:color w:val="auto"/>
                <w:sz w:val="24"/>
                <w:szCs w:val="24"/>
                <w:highlight w:val="none"/>
                <w:u w:val="none"/>
              </w:rPr>
              <w:t>在投标人单位购买社保</w:t>
            </w:r>
            <w:r>
              <w:rPr>
                <w:rFonts w:hint="eastAsia" w:ascii="宋体" w:hAnsi="宋体" w:eastAsia="宋体" w:cs="宋体"/>
                <w:b w:val="0"/>
                <w:bCs w:val="0"/>
                <w:color w:val="auto"/>
                <w:sz w:val="24"/>
                <w:szCs w:val="24"/>
                <w:highlight w:val="none"/>
                <w:u w:val="none"/>
                <w:lang w:val="en-US" w:eastAsia="zh-CN"/>
              </w:rPr>
              <w:t>的证明</w:t>
            </w:r>
            <w:r>
              <w:rPr>
                <w:rFonts w:hint="eastAsia" w:ascii="宋体" w:hAnsi="宋体" w:eastAsia="宋体" w:cs="宋体"/>
                <w:b w:val="0"/>
                <w:bCs w:val="0"/>
                <w:color w:val="auto"/>
                <w:sz w:val="24"/>
                <w:szCs w:val="24"/>
                <w:highlight w:val="none"/>
                <w:u w:val="none"/>
                <w:lang w:eastAsia="zh-CN"/>
              </w:rPr>
              <w:t>(如年龄达到法定退休年龄的，无法提供社保证明的，提供劳务合同</w:t>
            </w:r>
            <w:r>
              <w:rPr>
                <w:rFonts w:hint="eastAsia" w:ascii="宋体" w:hAnsi="宋体" w:eastAsia="宋体" w:cs="宋体"/>
                <w:b w:val="0"/>
                <w:bCs w:val="0"/>
                <w:color w:val="auto"/>
                <w:sz w:val="24"/>
                <w:szCs w:val="24"/>
                <w:highlight w:val="none"/>
                <w:u w:val="none"/>
                <w:lang w:val="en-US" w:eastAsia="zh-CN"/>
              </w:rPr>
              <w:t>复印件</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rPr>
              <w:t>并加盖</w:t>
            </w:r>
            <w:r>
              <w:rPr>
                <w:rFonts w:hint="eastAsia" w:ascii="宋体" w:hAnsi="宋体" w:eastAsia="宋体" w:cs="宋体"/>
                <w:b w:val="0"/>
                <w:bCs w:val="0"/>
                <w:color w:val="auto"/>
                <w:sz w:val="24"/>
                <w:szCs w:val="24"/>
                <w:highlight w:val="none"/>
                <w:u w:val="none"/>
                <w:lang w:val="en-US" w:eastAsia="zh-CN"/>
              </w:rPr>
              <w:t>投标人</w:t>
            </w:r>
            <w:r>
              <w:rPr>
                <w:rFonts w:hint="eastAsia" w:ascii="宋体" w:hAnsi="宋体" w:eastAsia="宋体" w:cs="宋体"/>
                <w:b w:val="0"/>
                <w:bCs w:val="0"/>
                <w:color w:val="auto"/>
                <w:sz w:val="24"/>
                <w:szCs w:val="24"/>
                <w:highlight w:val="none"/>
                <w:u w:val="none"/>
              </w:rPr>
              <w:t>公章。</w:t>
            </w:r>
          </w:p>
        </w:tc>
      </w:tr>
      <w:tr w14:paraId="30EEE0DA">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1162" w:type="dxa"/>
            <w:vMerge w:val="continue"/>
            <w:tcBorders>
              <w:left w:val="single" w:color="666666" w:sz="6" w:space="0"/>
              <w:right w:val="single" w:color="666666" w:sz="6" w:space="0"/>
            </w:tcBorders>
            <w:shd w:val="clear" w:color="auto" w:fill="FFFFFF"/>
            <w:noWrap w:val="0"/>
            <w:vAlign w:val="center"/>
          </w:tcPr>
          <w:p w14:paraId="0F2E5AE3">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
              </w:rPr>
            </w:pPr>
          </w:p>
        </w:tc>
        <w:tc>
          <w:tcPr>
            <w:tcW w:w="676" w:type="dxa"/>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153A5A6A">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b w:val="0"/>
                <w:bCs w:val="0"/>
                <w:color w:val="auto"/>
                <w:sz w:val="24"/>
                <w:szCs w:val="24"/>
                <w:highlight w:val="none"/>
                <w:u w:val="none"/>
                <w:lang w:val="en-US" w:eastAsia="zh-CN"/>
              </w:rPr>
              <w:t>3.00</w:t>
            </w:r>
          </w:p>
        </w:tc>
        <w:tc>
          <w:tcPr>
            <w:tcW w:w="7322" w:type="dxa"/>
            <w:tcBorders>
              <w:top w:val="single" w:color="666666" w:sz="6" w:space="0"/>
              <w:left w:val="single" w:color="666666" w:sz="6" w:space="0"/>
              <w:bottom w:val="single" w:color="666666" w:sz="6" w:space="0"/>
              <w:right w:val="single" w:color="666666" w:sz="6" w:space="0"/>
            </w:tcBorders>
            <w:shd w:val="clear" w:color="auto" w:fill="FFFFFF"/>
            <w:noWrap w:val="0"/>
            <w:vAlign w:val="top"/>
          </w:tcPr>
          <w:p w14:paraId="099FF040">
            <w:pPr>
              <w:pStyle w:val="4"/>
              <w:keepNext w:val="0"/>
              <w:keepLines w:val="0"/>
              <w:pageBreakBefore w:val="0"/>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auto"/>
                <w:kern w:val="0"/>
                <w:sz w:val="24"/>
                <w:szCs w:val="24"/>
                <w:highlight w:val="none"/>
              </w:rPr>
            </w:pPr>
            <w:r>
              <w:rPr>
                <w:rFonts w:hint="eastAsia" w:ascii="宋体" w:hAnsi="宋体" w:eastAsia="宋体" w:cs="宋体"/>
                <w:b w:val="0"/>
                <w:bCs w:val="0"/>
                <w:color w:val="auto"/>
                <w:sz w:val="24"/>
                <w:szCs w:val="24"/>
                <w:highlight w:val="none"/>
                <w:u w:val="none"/>
                <w:lang w:val="en-US" w:eastAsia="zh-CN"/>
              </w:rPr>
              <w:t>2.</w:t>
            </w:r>
            <w:r>
              <w:rPr>
                <w:rFonts w:hint="eastAsia" w:ascii="宋体" w:hAnsi="宋体" w:eastAsia="宋体" w:cs="宋体"/>
                <w:b w:val="0"/>
                <w:bCs w:val="0"/>
                <w:color w:val="auto"/>
                <w:sz w:val="24"/>
                <w:szCs w:val="24"/>
                <w:highlight w:val="none"/>
                <w:u w:val="none"/>
              </w:rPr>
              <w:t>投标人实验室具备中级</w:t>
            </w:r>
            <w:r>
              <w:rPr>
                <w:rFonts w:hint="eastAsia" w:ascii="宋体" w:hAnsi="宋体" w:eastAsia="宋体" w:cs="宋体"/>
                <w:b w:val="0"/>
                <w:bCs w:val="0"/>
                <w:color w:val="auto"/>
                <w:sz w:val="24"/>
                <w:szCs w:val="24"/>
                <w:highlight w:val="none"/>
                <w:u w:val="none"/>
                <w:lang w:val="en-US" w:eastAsia="zh-CN"/>
              </w:rPr>
              <w:t>及以上</w:t>
            </w:r>
            <w:r>
              <w:rPr>
                <w:rFonts w:hint="eastAsia" w:ascii="宋体" w:hAnsi="宋体" w:eastAsia="宋体" w:cs="宋体"/>
                <w:b w:val="0"/>
                <w:bCs w:val="0"/>
                <w:color w:val="auto"/>
                <w:sz w:val="24"/>
                <w:szCs w:val="24"/>
                <w:highlight w:val="none"/>
                <w:u w:val="none"/>
              </w:rPr>
              <w:t>检验</w:t>
            </w:r>
            <w:r>
              <w:rPr>
                <w:rFonts w:hint="eastAsia" w:ascii="宋体" w:hAnsi="宋体" w:eastAsia="宋体" w:cs="宋体"/>
                <w:b w:val="0"/>
                <w:bCs w:val="0"/>
                <w:color w:val="auto"/>
                <w:sz w:val="24"/>
                <w:szCs w:val="24"/>
                <w:highlight w:val="none"/>
                <w:u w:val="none"/>
                <w:lang w:val="en-US" w:eastAsia="zh-CN"/>
              </w:rPr>
              <w:t>或</w:t>
            </w:r>
            <w:r>
              <w:rPr>
                <w:rFonts w:hint="eastAsia" w:ascii="宋体" w:hAnsi="宋体" w:eastAsia="宋体" w:cs="宋体"/>
                <w:b w:val="0"/>
                <w:bCs w:val="0"/>
                <w:color w:val="auto"/>
                <w:sz w:val="24"/>
                <w:szCs w:val="24"/>
                <w:highlight w:val="none"/>
                <w:u w:val="none"/>
              </w:rPr>
              <w:t>病理技术人员，每提供1名，得0.5分，</w:t>
            </w:r>
            <w:r>
              <w:rPr>
                <w:rFonts w:hint="eastAsia" w:ascii="宋体" w:hAnsi="宋体" w:eastAsia="宋体" w:cs="宋体"/>
                <w:b w:val="0"/>
                <w:bCs w:val="0"/>
                <w:color w:val="auto"/>
                <w:sz w:val="24"/>
                <w:szCs w:val="24"/>
                <w:highlight w:val="none"/>
                <w:u w:val="none"/>
                <w:lang w:val="en-US" w:eastAsia="zh-CN"/>
              </w:rPr>
              <w:t>满分3</w:t>
            </w:r>
            <w:r>
              <w:rPr>
                <w:rFonts w:hint="eastAsia" w:ascii="宋体" w:hAnsi="宋体" w:eastAsia="宋体" w:cs="宋体"/>
                <w:b w:val="0"/>
                <w:bCs w:val="0"/>
                <w:color w:val="auto"/>
                <w:sz w:val="24"/>
                <w:szCs w:val="24"/>
                <w:highlight w:val="none"/>
                <w:u w:val="none"/>
              </w:rPr>
              <w:t xml:space="preserve">分； </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提供上述相关证明材料复印件及</w:t>
            </w:r>
            <w:r>
              <w:rPr>
                <w:rFonts w:hint="eastAsia" w:ascii="宋体" w:hAnsi="宋体" w:eastAsia="宋体" w:cs="宋体"/>
                <w:b w:val="0"/>
                <w:bCs w:val="0"/>
                <w:color w:val="auto"/>
                <w:sz w:val="24"/>
                <w:szCs w:val="24"/>
                <w:highlight w:val="none"/>
                <w:u w:val="none"/>
                <w:lang w:val="en-US" w:eastAsia="zh-CN"/>
              </w:rPr>
              <w:t>开标前最</w:t>
            </w:r>
            <w:r>
              <w:rPr>
                <w:rFonts w:hint="eastAsia" w:ascii="宋体" w:hAnsi="宋体" w:eastAsia="宋体" w:cs="宋体"/>
                <w:b w:val="0"/>
                <w:bCs w:val="0"/>
                <w:color w:val="auto"/>
                <w:sz w:val="24"/>
                <w:szCs w:val="24"/>
                <w:highlight w:val="none"/>
                <w:u w:val="none"/>
              </w:rPr>
              <w:t>近</w:t>
            </w:r>
            <w:r>
              <w:rPr>
                <w:rFonts w:hint="eastAsia" w:ascii="宋体" w:hAnsi="宋体" w:eastAsia="宋体" w:cs="宋体"/>
                <w:b w:val="0"/>
                <w:bCs w:val="0"/>
                <w:color w:val="auto"/>
                <w:sz w:val="24"/>
                <w:szCs w:val="24"/>
                <w:highlight w:val="none"/>
                <w:u w:val="none"/>
                <w:lang w:val="en-US" w:eastAsia="zh-CN"/>
              </w:rPr>
              <w:t>6</w:t>
            </w:r>
            <w:r>
              <w:rPr>
                <w:rFonts w:hint="eastAsia" w:ascii="宋体" w:hAnsi="宋体" w:eastAsia="宋体" w:cs="宋体"/>
                <w:b w:val="0"/>
                <w:bCs w:val="0"/>
                <w:color w:val="auto"/>
                <w:sz w:val="24"/>
                <w:szCs w:val="24"/>
                <w:highlight w:val="none"/>
                <w:u w:val="none"/>
              </w:rPr>
              <w:t>个月</w:t>
            </w:r>
            <w:r>
              <w:rPr>
                <w:rFonts w:hint="eastAsia" w:ascii="宋体" w:hAnsi="宋体" w:eastAsia="宋体" w:cs="宋体"/>
                <w:b w:val="0"/>
                <w:bCs w:val="0"/>
                <w:color w:val="auto"/>
                <w:sz w:val="24"/>
                <w:szCs w:val="24"/>
                <w:highlight w:val="none"/>
                <w:u w:val="none"/>
                <w:lang w:val="en-US" w:eastAsia="zh-CN"/>
              </w:rPr>
              <w:t>内任意1个月（不含投标当月）</w:t>
            </w:r>
            <w:r>
              <w:rPr>
                <w:rFonts w:hint="eastAsia" w:ascii="宋体" w:hAnsi="宋体" w:eastAsia="宋体" w:cs="宋体"/>
                <w:b w:val="0"/>
                <w:bCs w:val="0"/>
                <w:color w:val="auto"/>
                <w:sz w:val="24"/>
                <w:szCs w:val="24"/>
                <w:highlight w:val="none"/>
                <w:u w:val="none"/>
              </w:rPr>
              <w:t>在投标人单位购买社保</w:t>
            </w:r>
            <w:r>
              <w:rPr>
                <w:rFonts w:hint="eastAsia" w:ascii="宋体" w:hAnsi="宋体" w:eastAsia="宋体" w:cs="宋体"/>
                <w:b w:val="0"/>
                <w:bCs w:val="0"/>
                <w:color w:val="auto"/>
                <w:sz w:val="24"/>
                <w:szCs w:val="24"/>
                <w:highlight w:val="none"/>
                <w:u w:val="none"/>
                <w:lang w:val="en-US" w:eastAsia="zh-CN"/>
              </w:rPr>
              <w:t>的证明</w:t>
            </w:r>
            <w:r>
              <w:rPr>
                <w:rFonts w:hint="eastAsia" w:ascii="宋体" w:hAnsi="宋体" w:eastAsia="宋体" w:cs="宋体"/>
                <w:b w:val="0"/>
                <w:bCs w:val="0"/>
                <w:color w:val="auto"/>
                <w:sz w:val="24"/>
                <w:szCs w:val="24"/>
                <w:highlight w:val="none"/>
                <w:u w:val="none"/>
                <w:lang w:eastAsia="zh-CN"/>
              </w:rPr>
              <w:t>(如年龄达到法定退休年龄的，无法提供社保证明的，提供劳务合同</w:t>
            </w:r>
            <w:r>
              <w:rPr>
                <w:rFonts w:hint="eastAsia" w:ascii="宋体" w:hAnsi="宋体" w:eastAsia="宋体" w:cs="宋体"/>
                <w:b w:val="0"/>
                <w:bCs w:val="0"/>
                <w:color w:val="auto"/>
                <w:sz w:val="24"/>
                <w:szCs w:val="24"/>
                <w:highlight w:val="none"/>
                <w:u w:val="none"/>
                <w:lang w:val="en-US" w:eastAsia="zh-CN"/>
              </w:rPr>
              <w:t>复印件</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rPr>
              <w:t>并加盖</w:t>
            </w:r>
            <w:r>
              <w:rPr>
                <w:rFonts w:hint="eastAsia" w:ascii="宋体" w:hAnsi="宋体" w:eastAsia="宋体" w:cs="宋体"/>
                <w:b w:val="0"/>
                <w:bCs w:val="0"/>
                <w:color w:val="auto"/>
                <w:sz w:val="24"/>
                <w:szCs w:val="24"/>
                <w:highlight w:val="none"/>
                <w:u w:val="none"/>
                <w:lang w:val="en-US" w:eastAsia="zh-CN"/>
              </w:rPr>
              <w:t>投标人</w:t>
            </w:r>
            <w:r>
              <w:rPr>
                <w:rFonts w:hint="eastAsia" w:ascii="宋体" w:hAnsi="宋体" w:eastAsia="宋体" w:cs="宋体"/>
                <w:b w:val="0"/>
                <w:bCs w:val="0"/>
                <w:color w:val="auto"/>
                <w:sz w:val="24"/>
                <w:szCs w:val="24"/>
                <w:highlight w:val="none"/>
                <w:u w:val="none"/>
              </w:rPr>
              <w:t>公章。</w:t>
            </w:r>
          </w:p>
        </w:tc>
      </w:tr>
    </w:tbl>
    <w:p w14:paraId="6EC18A4F">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商务项（F3×A3）满分</w:t>
      </w:r>
      <w:r>
        <w:rPr>
          <w:rFonts w:hint="eastAsia" w:ascii="宋体" w:hAnsi="宋体" w:eastAsia="宋体" w:cs="宋体"/>
          <w:b w:val="0"/>
          <w:bCs w:val="0"/>
          <w:sz w:val="24"/>
          <w:szCs w:val="24"/>
        </w:rPr>
        <w:t>为</w:t>
      </w:r>
      <w:r>
        <w:rPr>
          <w:rFonts w:hint="eastAsia" w:ascii="宋体" w:hAnsi="宋体" w:eastAsia="宋体" w:cs="宋体"/>
          <w:b w:val="0"/>
          <w:bCs w:val="0"/>
          <w:color w:val="auto"/>
          <w:sz w:val="24"/>
          <w:szCs w:val="24"/>
          <w:highlight w:val="none"/>
          <w:lang w:val="en-US" w:eastAsia="zh-CN"/>
        </w:rPr>
        <w:t>15</w:t>
      </w:r>
      <w:r>
        <w:rPr>
          <w:rFonts w:hint="eastAsia" w:ascii="宋体" w:hAnsi="宋体" w:eastAsia="宋体" w:cs="宋体"/>
          <w:b w:val="0"/>
          <w:bCs w:val="0"/>
          <w:sz w:val="24"/>
          <w:szCs w:val="24"/>
        </w:rPr>
        <w:t>.00</w:t>
      </w:r>
      <w:r>
        <w:rPr>
          <w:rFonts w:hint="eastAsia" w:ascii="宋体" w:hAnsi="宋体" w:eastAsia="宋体" w:cs="宋体"/>
          <w:sz w:val="24"/>
          <w:szCs w:val="24"/>
        </w:rPr>
        <w:t>00分</w:t>
      </w:r>
    </w:p>
    <w:tbl>
      <w:tblPr>
        <w:tblStyle w:val="8"/>
        <w:tblW w:w="5040" w:type="pct"/>
        <w:tblInd w:w="0" w:type="dxa"/>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Layout w:type="autofit"/>
        <w:tblCellMar>
          <w:top w:w="0" w:type="dxa"/>
          <w:left w:w="0" w:type="dxa"/>
          <w:bottom w:w="0" w:type="dxa"/>
          <w:right w:w="0" w:type="dxa"/>
        </w:tblCellMar>
      </w:tblPr>
      <w:tblGrid>
        <w:gridCol w:w="1157"/>
        <w:gridCol w:w="673"/>
        <w:gridCol w:w="7284"/>
      </w:tblGrid>
      <w:tr w14:paraId="669429D0">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5"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6A3F34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highlight w:val="none"/>
              </w:rPr>
            </w:pPr>
            <w:r>
              <w:rPr>
                <w:rFonts w:hint="eastAsia" w:ascii="宋体" w:hAnsi="宋体" w:eastAsia="宋体" w:cs="宋体"/>
                <w:color w:val="auto"/>
                <w:kern w:val="0"/>
                <w:sz w:val="24"/>
                <w:szCs w:val="24"/>
                <w:highlight w:val="none"/>
                <w:lang w:val="en-US" w:eastAsia="zh-CN" w:bidi="ar"/>
              </w:rPr>
              <w:t>评标项目</w:t>
            </w:r>
          </w:p>
        </w:tc>
        <w:tc>
          <w:tcPr>
            <w:tcW w:w="369"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08D7307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highlight w:val="none"/>
              </w:rPr>
            </w:pPr>
            <w:r>
              <w:rPr>
                <w:rFonts w:hint="eastAsia" w:ascii="宋体" w:hAnsi="宋体" w:eastAsia="宋体" w:cs="宋体"/>
                <w:color w:val="auto"/>
                <w:kern w:val="0"/>
                <w:sz w:val="24"/>
                <w:szCs w:val="24"/>
                <w:highlight w:val="none"/>
                <w:lang w:val="en-US" w:eastAsia="zh-CN" w:bidi="ar"/>
              </w:rPr>
              <w:t>评标分值</w:t>
            </w:r>
          </w:p>
        </w:tc>
        <w:tc>
          <w:tcPr>
            <w:tcW w:w="3995"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4652C44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highlight w:val="none"/>
              </w:rPr>
            </w:pPr>
            <w:r>
              <w:rPr>
                <w:rFonts w:hint="eastAsia" w:ascii="宋体" w:hAnsi="宋体" w:eastAsia="宋体" w:cs="宋体"/>
                <w:color w:val="auto"/>
                <w:kern w:val="0"/>
                <w:sz w:val="24"/>
                <w:szCs w:val="24"/>
                <w:highlight w:val="none"/>
                <w:lang w:val="en-US" w:eastAsia="zh-CN" w:bidi="ar"/>
              </w:rPr>
              <w:t>评标方法描述</w:t>
            </w:r>
          </w:p>
        </w:tc>
      </w:tr>
      <w:tr w14:paraId="260AE21E">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5"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69EE64B3">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同类</w:t>
            </w:r>
            <w:r>
              <w:rPr>
                <w:rFonts w:hint="eastAsia" w:ascii="宋体" w:hAnsi="宋体" w:eastAsia="宋体" w:cs="宋体"/>
                <w:color w:val="auto"/>
                <w:sz w:val="24"/>
                <w:szCs w:val="24"/>
                <w:highlight w:val="none"/>
              </w:rPr>
              <w:t>业绩</w:t>
            </w:r>
          </w:p>
        </w:tc>
        <w:tc>
          <w:tcPr>
            <w:tcW w:w="369"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0DCDDEA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3.00</w:t>
            </w:r>
          </w:p>
        </w:tc>
        <w:tc>
          <w:tcPr>
            <w:tcW w:w="3995" w:type="pct"/>
            <w:tcBorders>
              <w:top w:val="single" w:color="666666" w:sz="6" w:space="0"/>
              <w:left w:val="single" w:color="666666" w:sz="6" w:space="0"/>
              <w:bottom w:val="single" w:color="666666" w:sz="6" w:space="0"/>
              <w:right w:val="single" w:color="666666" w:sz="6" w:space="0"/>
            </w:tcBorders>
            <w:shd w:val="clear" w:color="auto" w:fill="FFFFFF"/>
            <w:noWrap w:val="0"/>
            <w:vAlign w:val="top"/>
          </w:tcPr>
          <w:p w14:paraId="6D16BA4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rPr>
              <w:t>投标人提供自2022年1月1日至投标截止日期（以合同签订日期为准）</w:t>
            </w:r>
            <w:r>
              <w:rPr>
                <w:rFonts w:hint="eastAsia" w:ascii="宋体" w:hAnsi="宋体" w:eastAsia="宋体" w:cs="宋体"/>
                <w:color w:val="auto"/>
                <w:sz w:val="24"/>
                <w:szCs w:val="24"/>
                <w:highlight w:val="none"/>
                <w:lang w:val="en-US" w:eastAsia="zh-CN"/>
              </w:rPr>
              <w:t>完成的或正在履约的同类</w:t>
            </w:r>
            <w:r>
              <w:rPr>
                <w:rFonts w:hint="eastAsia" w:ascii="宋体" w:hAnsi="宋体" w:eastAsia="宋体" w:cs="宋体"/>
                <w:color w:val="auto"/>
                <w:kern w:val="0"/>
                <w:sz w:val="24"/>
                <w:highlight w:val="none"/>
              </w:rPr>
              <w:t>业绩</w:t>
            </w:r>
            <w:r>
              <w:rPr>
                <w:rFonts w:hint="eastAsia" w:ascii="宋体" w:hAnsi="宋体" w:eastAsia="宋体" w:cs="宋体"/>
                <w:color w:val="auto"/>
                <w:kern w:val="0"/>
                <w:sz w:val="24"/>
                <w:highlight w:val="none"/>
                <w:lang w:eastAsia="zh-CN"/>
              </w:rPr>
              <w:t>，</w:t>
            </w:r>
            <w:r>
              <w:rPr>
                <w:rFonts w:hint="eastAsia" w:ascii="宋体" w:hAnsi="宋体" w:eastAsia="宋体" w:cs="宋体"/>
                <w:color w:val="auto"/>
                <w:sz w:val="24"/>
                <w:szCs w:val="24"/>
                <w:highlight w:val="none"/>
              </w:rPr>
              <w:t>每提供1份得1分，满分3分。</w:t>
            </w:r>
            <w:r>
              <w:rPr>
                <w:rFonts w:hint="eastAsia" w:ascii="宋体" w:hAnsi="宋体" w:eastAsia="宋体" w:cs="宋体"/>
                <w:color w:val="auto"/>
                <w:kern w:val="0"/>
                <w:sz w:val="24"/>
                <w:highlight w:val="none"/>
                <w:lang w:val="en-US" w:eastAsia="zh-CN"/>
              </w:rPr>
              <w:t>须</w:t>
            </w:r>
            <w:r>
              <w:rPr>
                <w:rFonts w:hint="eastAsia" w:ascii="宋体" w:hAnsi="宋体" w:eastAsia="宋体" w:cs="宋体"/>
                <w:color w:val="auto"/>
                <w:kern w:val="0"/>
                <w:sz w:val="24"/>
                <w:highlight w:val="none"/>
              </w:rPr>
              <w:t>同时提供该业绩的</w:t>
            </w:r>
            <w:r>
              <w:rPr>
                <w:rFonts w:hint="eastAsia" w:ascii="宋体" w:hAnsi="宋体" w:eastAsia="宋体" w:cs="宋体"/>
                <w:color w:val="auto"/>
                <w:sz w:val="24"/>
                <w:szCs w:val="24"/>
                <w:highlight w:val="none"/>
              </w:rPr>
              <w:t>①业绩列表、②中标/成交公告（提供相关网站中标/成交公告的下载网页并注明网址）、③中标/成交通知书复印件、④合同文本复印件，缺少其中之一的不得分。</w:t>
            </w:r>
          </w:p>
        </w:tc>
      </w:tr>
      <w:tr w14:paraId="61614621">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5" w:type="pct"/>
            <w:vMerge w:val="restart"/>
            <w:tcBorders>
              <w:top w:val="single" w:color="666666" w:sz="6" w:space="0"/>
              <w:left w:val="single" w:color="666666" w:sz="6" w:space="0"/>
              <w:right w:val="single" w:color="666666" w:sz="6" w:space="0"/>
            </w:tcBorders>
            <w:shd w:val="clear" w:color="auto" w:fill="auto"/>
            <w:noWrap w:val="0"/>
            <w:vAlign w:val="center"/>
          </w:tcPr>
          <w:p w14:paraId="2EB9653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学科建设能力</w:t>
            </w:r>
          </w:p>
        </w:tc>
        <w:tc>
          <w:tcPr>
            <w:tcW w:w="369"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040872D4">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3.00</w:t>
            </w:r>
          </w:p>
        </w:tc>
        <w:tc>
          <w:tcPr>
            <w:tcW w:w="3995"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799F6033">
            <w:pPr>
              <w:pStyle w:val="11"/>
              <w:keepNext w:val="0"/>
              <w:keepLines w:val="0"/>
              <w:pageBreakBefore w:val="0"/>
              <w:numPr>
                <w:ilvl w:val="0"/>
                <w:numId w:val="0"/>
              </w:numPr>
              <w:kinsoku/>
              <w:wordWrap/>
              <w:overflowPunct/>
              <w:topLinePunct w:val="0"/>
              <w:autoSpaceDE/>
              <w:autoSpaceDN/>
              <w:bidi w:val="0"/>
              <w:adjustRightInd/>
              <w:snapToGrid/>
              <w:spacing w:line="360" w:lineRule="auto"/>
              <w:ind w:left="120" w:leftChars="0" w:firstLine="0" w:firstLineChars="0"/>
              <w:jc w:val="left"/>
              <w:textAlignment w:val="auto"/>
              <w:rPr>
                <w:rFonts w:hint="eastAsia" w:ascii="宋体" w:hAnsi="宋体" w:eastAsia="宋体" w:cs="宋体"/>
                <w:b w:val="0"/>
                <w:bCs w:val="0"/>
                <w:color w:val="auto"/>
                <w:kern w:val="0"/>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lang w:val="en-US" w:eastAsia="zh-CN"/>
              </w:rPr>
              <w:t>1.</w:t>
            </w:r>
            <w:r>
              <w:rPr>
                <w:rFonts w:hint="eastAsia" w:ascii="宋体" w:hAnsi="宋体" w:eastAsia="宋体" w:cs="宋体"/>
                <w:b w:val="0"/>
                <w:bCs w:val="0"/>
                <w:color w:val="auto"/>
                <w:sz w:val="24"/>
                <w:szCs w:val="24"/>
                <w:highlight w:val="none"/>
                <w:u w:val="none"/>
              </w:rPr>
              <w:t>投标人获得省级或以上科学技术厅认定的病理相关工程技术研究中心的得</w:t>
            </w:r>
            <w:r>
              <w:rPr>
                <w:rFonts w:hint="eastAsia" w:ascii="宋体" w:hAnsi="宋体" w:eastAsia="宋体" w:cs="宋体"/>
                <w:b w:val="0"/>
                <w:bCs w:val="0"/>
                <w:color w:val="auto"/>
                <w:sz w:val="24"/>
                <w:szCs w:val="24"/>
                <w:highlight w:val="none"/>
                <w:u w:val="none"/>
                <w:lang w:val="en-US" w:eastAsia="zh-CN"/>
              </w:rPr>
              <w:t>3</w:t>
            </w:r>
            <w:r>
              <w:rPr>
                <w:rFonts w:hint="eastAsia" w:ascii="宋体" w:hAnsi="宋体" w:eastAsia="宋体" w:cs="宋体"/>
                <w:b w:val="0"/>
                <w:bCs w:val="0"/>
                <w:color w:val="auto"/>
                <w:sz w:val="24"/>
                <w:szCs w:val="24"/>
                <w:highlight w:val="none"/>
                <w:u w:val="none"/>
              </w:rPr>
              <w:t>分；市级科学技术厅认定的病理相关工程技术研究中心的得</w:t>
            </w:r>
            <w:r>
              <w:rPr>
                <w:rFonts w:hint="eastAsia" w:ascii="宋体" w:hAnsi="宋体" w:eastAsia="宋体" w:cs="宋体"/>
                <w:b w:val="0"/>
                <w:bCs w:val="0"/>
                <w:color w:val="auto"/>
                <w:sz w:val="24"/>
                <w:szCs w:val="24"/>
                <w:highlight w:val="none"/>
                <w:u w:val="none"/>
                <w:lang w:val="en-US" w:eastAsia="zh-CN"/>
              </w:rPr>
              <w:t>2</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rPr>
              <w:t>须提供相关证书或有效证明文件复印件加盖投标人公章。</w:t>
            </w:r>
          </w:p>
        </w:tc>
      </w:tr>
      <w:tr w14:paraId="36758828">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5" w:type="pct"/>
            <w:vMerge w:val="continue"/>
            <w:tcBorders>
              <w:left w:val="single" w:color="666666" w:sz="6" w:space="0"/>
              <w:right w:val="single" w:color="666666" w:sz="6" w:space="0"/>
            </w:tcBorders>
            <w:shd w:val="clear" w:color="auto" w:fill="FFFFFF"/>
            <w:noWrap w:val="0"/>
            <w:vAlign w:val="center"/>
          </w:tcPr>
          <w:p w14:paraId="21C5EB1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p>
        </w:tc>
        <w:tc>
          <w:tcPr>
            <w:tcW w:w="369"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1716EEF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3.00</w:t>
            </w:r>
          </w:p>
        </w:tc>
        <w:tc>
          <w:tcPr>
            <w:tcW w:w="3995"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7525D05C">
            <w:pPr>
              <w:keepNext w:val="0"/>
              <w:keepLines w:val="0"/>
              <w:pageBreakBefore w:val="0"/>
              <w:numPr>
                <w:ilvl w:val="0"/>
                <w:numId w:val="0"/>
              </w:numPr>
              <w:kinsoku/>
              <w:wordWrap/>
              <w:overflowPunct/>
              <w:topLinePunct w:val="0"/>
              <w:autoSpaceDE/>
              <w:autoSpaceDN/>
              <w:bidi w:val="0"/>
              <w:adjustRightInd/>
              <w:snapToGrid/>
              <w:spacing w:line="360" w:lineRule="auto"/>
              <w:ind w:left="120" w:leftChars="0" w:firstLine="0" w:firstLineChars="0"/>
              <w:textAlignment w:val="auto"/>
              <w:rPr>
                <w:rFonts w:hint="eastAsia" w:ascii="宋体" w:hAnsi="宋体" w:eastAsia="宋体" w:cs="宋体"/>
                <w:b w:val="0"/>
                <w:bCs w:val="0"/>
                <w:color w:val="auto"/>
                <w:kern w:val="2"/>
                <w:sz w:val="24"/>
                <w:szCs w:val="24"/>
                <w:highlight w:val="none"/>
                <w:u w:val="none"/>
                <w:lang w:val="en-US" w:eastAsia="zh-Hans" w:bidi="ar-SA"/>
              </w:rPr>
            </w:pPr>
            <w:r>
              <w:rPr>
                <w:rFonts w:hint="eastAsia" w:ascii="宋体" w:hAnsi="宋体" w:eastAsia="宋体" w:cs="宋体"/>
                <w:b w:val="0"/>
                <w:bCs w:val="0"/>
                <w:color w:val="auto"/>
                <w:sz w:val="24"/>
                <w:szCs w:val="24"/>
                <w:highlight w:val="none"/>
                <w:u w:val="none"/>
                <w:lang w:val="en-US" w:eastAsia="zh-CN"/>
              </w:rPr>
              <w:t>2.</w:t>
            </w:r>
            <w:r>
              <w:rPr>
                <w:rFonts w:hint="eastAsia" w:ascii="宋体" w:hAnsi="宋体" w:eastAsia="宋体" w:cs="宋体"/>
                <w:b w:val="0"/>
                <w:bCs w:val="0"/>
                <w:color w:val="auto"/>
                <w:sz w:val="24"/>
                <w:szCs w:val="24"/>
                <w:highlight w:val="none"/>
                <w:u w:val="none"/>
              </w:rPr>
              <w:t>投标人病理相关研究及应用项目获得过国家级科技部项目立项支持的得</w:t>
            </w:r>
            <w:r>
              <w:rPr>
                <w:rFonts w:hint="eastAsia" w:ascii="宋体" w:hAnsi="宋体" w:eastAsia="宋体" w:cs="宋体"/>
                <w:b w:val="0"/>
                <w:bCs w:val="0"/>
                <w:color w:val="auto"/>
                <w:sz w:val="24"/>
                <w:szCs w:val="24"/>
                <w:highlight w:val="none"/>
                <w:u w:val="none"/>
                <w:lang w:val="en-US" w:eastAsia="zh-CN"/>
              </w:rPr>
              <w:t>3</w:t>
            </w:r>
            <w:r>
              <w:rPr>
                <w:rFonts w:hint="eastAsia" w:ascii="宋体" w:hAnsi="宋体" w:eastAsia="宋体" w:cs="宋体"/>
                <w:b w:val="0"/>
                <w:bCs w:val="0"/>
                <w:color w:val="auto"/>
                <w:sz w:val="24"/>
                <w:szCs w:val="24"/>
                <w:highlight w:val="none"/>
                <w:u w:val="none"/>
              </w:rPr>
              <w:t>分；省级科技部项目立项支持的得2分；市级科技部项目立项支持的得1分</w:t>
            </w:r>
            <w:r>
              <w:rPr>
                <w:rFonts w:hint="eastAsia" w:ascii="宋体" w:hAnsi="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rPr>
              <w:t>须提供相关证书或有效证明文件复印件加盖投标人公章。</w:t>
            </w:r>
          </w:p>
        </w:tc>
      </w:tr>
      <w:tr w14:paraId="07541D33">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5" w:type="pct"/>
            <w:vMerge w:val="continue"/>
            <w:tcBorders>
              <w:left w:val="single" w:color="666666" w:sz="6" w:space="0"/>
              <w:bottom w:val="single" w:color="666666" w:sz="6" w:space="0"/>
              <w:right w:val="single" w:color="666666" w:sz="6" w:space="0"/>
            </w:tcBorders>
            <w:shd w:val="clear" w:color="auto" w:fill="FFFFFF"/>
            <w:noWrap w:val="0"/>
            <w:vAlign w:val="center"/>
          </w:tcPr>
          <w:p w14:paraId="3F11E5F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p>
        </w:tc>
        <w:tc>
          <w:tcPr>
            <w:tcW w:w="369"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11C7C7B1">
            <w:pPr>
              <w:pStyle w:val="11"/>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b w:val="0"/>
                <w:bCs w:val="0"/>
                <w:color w:val="auto"/>
                <w:sz w:val="24"/>
                <w:szCs w:val="24"/>
                <w:highlight w:val="none"/>
                <w:u w:val="none"/>
                <w:lang w:val="en-US" w:eastAsia="zh-CN"/>
              </w:rPr>
              <w:t>3.00</w:t>
            </w:r>
          </w:p>
        </w:tc>
        <w:tc>
          <w:tcPr>
            <w:tcW w:w="3995"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1886316">
            <w:pPr>
              <w:pStyle w:val="4"/>
              <w:keepNext w:val="0"/>
              <w:keepLines w:val="0"/>
              <w:pageBreakBefore w:val="0"/>
              <w:kinsoku/>
              <w:wordWrap/>
              <w:overflowPunct/>
              <w:topLinePunct w:val="0"/>
              <w:autoSpaceDE/>
              <w:autoSpaceDN/>
              <w:bidi w:val="0"/>
              <w:adjustRightInd/>
              <w:snapToGrid/>
              <w:spacing w:line="360" w:lineRule="auto"/>
              <w:ind w:left="0" w:leftChars="0"/>
              <w:rPr>
                <w:rFonts w:hint="eastAsia" w:ascii="宋体" w:hAnsi="宋体" w:eastAsia="宋体" w:cs="宋体"/>
                <w:b w:val="0"/>
                <w:bCs w:val="0"/>
                <w:color w:val="auto"/>
                <w:sz w:val="24"/>
                <w:szCs w:val="24"/>
                <w:highlight w:val="none"/>
                <w:u w:val="none"/>
                <w:lang w:eastAsia="zh-CN"/>
              </w:rPr>
            </w:pPr>
            <w:r>
              <w:rPr>
                <w:rFonts w:hint="eastAsia" w:ascii="宋体" w:hAnsi="宋体" w:eastAsia="宋体" w:cs="宋体"/>
                <w:b w:val="0"/>
                <w:bCs w:val="0"/>
                <w:color w:val="auto"/>
                <w:sz w:val="24"/>
                <w:szCs w:val="24"/>
                <w:highlight w:val="none"/>
                <w:u w:val="none"/>
              </w:rPr>
              <w:t>3</w:t>
            </w:r>
            <w:r>
              <w:rPr>
                <w:rFonts w:hint="eastAsia" w:ascii="宋体" w:hAnsi="宋体" w:eastAsia="宋体" w:cs="宋体"/>
                <w:b w:val="0"/>
                <w:bCs w:val="0"/>
                <w:color w:val="auto"/>
                <w:sz w:val="24"/>
                <w:szCs w:val="24"/>
                <w:highlight w:val="none"/>
                <w:u w:val="none"/>
                <w:lang w:val="en-US" w:eastAsia="zh-CN"/>
              </w:rPr>
              <w:t>.</w:t>
            </w:r>
            <w:r>
              <w:rPr>
                <w:rFonts w:hint="eastAsia" w:ascii="宋体" w:hAnsi="宋体" w:eastAsia="宋体" w:cs="宋体"/>
                <w:b w:val="0"/>
                <w:bCs w:val="0"/>
                <w:color w:val="auto"/>
                <w:sz w:val="24"/>
                <w:szCs w:val="24"/>
                <w:highlight w:val="none"/>
                <w:u w:val="none"/>
              </w:rPr>
              <w:t>投标人微生物快速鉴定平台获得技术创新类奖项或荣誉的得</w:t>
            </w:r>
            <w:r>
              <w:rPr>
                <w:rFonts w:hint="eastAsia" w:ascii="宋体" w:hAnsi="宋体" w:eastAsia="宋体" w:cs="宋体"/>
                <w:b w:val="0"/>
                <w:bCs w:val="0"/>
                <w:color w:val="auto"/>
                <w:sz w:val="24"/>
                <w:szCs w:val="24"/>
                <w:highlight w:val="none"/>
                <w:u w:val="none"/>
                <w:lang w:val="en-US" w:eastAsia="zh-CN"/>
              </w:rPr>
              <w:t>3</w:t>
            </w:r>
            <w:r>
              <w:rPr>
                <w:rFonts w:hint="eastAsia" w:ascii="宋体" w:hAnsi="宋体" w:eastAsia="宋体" w:cs="宋体"/>
                <w:b w:val="0"/>
                <w:bCs w:val="0"/>
                <w:color w:val="auto"/>
                <w:sz w:val="24"/>
                <w:szCs w:val="24"/>
                <w:highlight w:val="none"/>
                <w:u w:val="none"/>
              </w:rPr>
              <w:t>分</w:t>
            </w:r>
            <w:r>
              <w:rPr>
                <w:rFonts w:hint="eastAsia" w:ascii="宋体" w:hAnsi="宋体" w:eastAsia="宋体" w:cs="宋体"/>
                <w:b w:val="0"/>
                <w:bCs w:val="0"/>
                <w:color w:val="auto"/>
                <w:sz w:val="24"/>
                <w:szCs w:val="24"/>
                <w:highlight w:val="none"/>
                <w:u w:val="none"/>
                <w:lang w:eastAsia="zh-CN"/>
              </w:rPr>
              <w:t>；</w:t>
            </w:r>
          </w:p>
          <w:p w14:paraId="008F0FBD">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u w:val="none"/>
                <w:lang w:val="en-US" w:eastAsia="zh-CN"/>
              </w:rPr>
            </w:pP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提供相关证明文件复印件</w:t>
            </w:r>
            <w:r>
              <w:rPr>
                <w:rFonts w:hint="eastAsia" w:ascii="宋体" w:hAnsi="宋体" w:eastAsia="宋体" w:cs="宋体"/>
                <w:b w:val="0"/>
                <w:bCs w:val="0"/>
                <w:color w:val="auto"/>
                <w:sz w:val="24"/>
                <w:szCs w:val="24"/>
                <w:highlight w:val="none"/>
                <w:u w:val="none"/>
                <w:lang w:val="en-US" w:eastAsia="zh-CN"/>
              </w:rPr>
              <w:t>并</w:t>
            </w:r>
            <w:r>
              <w:rPr>
                <w:rFonts w:hint="eastAsia" w:ascii="宋体" w:hAnsi="宋体" w:eastAsia="宋体" w:cs="宋体"/>
                <w:b w:val="0"/>
                <w:bCs w:val="0"/>
                <w:color w:val="auto"/>
                <w:sz w:val="24"/>
                <w:szCs w:val="24"/>
                <w:highlight w:val="none"/>
                <w:u w:val="none"/>
              </w:rPr>
              <w:t>加盖投标人公章。</w:t>
            </w:r>
          </w:p>
        </w:tc>
      </w:tr>
      <w:tr w14:paraId="41D4E2B1">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0" w:type="dxa"/>
            <w:left w:w="0" w:type="dxa"/>
            <w:bottom w:w="0" w:type="dxa"/>
            <w:right w:w="0" w:type="dxa"/>
          </w:tblCellMar>
        </w:tblPrEx>
        <w:trPr>
          <w:tblHeader/>
        </w:trPr>
        <w:tc>
          <w:tcPr>
            <w:tcW w:w="635"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199EC4AE">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培训能力</w:t>
            </w:r>
          </w:p>
        </w:tc>
        <w:tc>
          <w:tcPr>
            <w:tcW w:w="369"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33C96E6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3.00</w:t>
            </w:r>
          </w:p>
        </w:tc>
        <w:tc>
          <w:tcPr>
            <w:tcW w:w="3995" w:type="pct"/>
            <w:tcBorders>
              <w:top w:val="single" w:color="666666" w:sz="6" w:space="0"/>
              <w:left w:val="single" w:color="666666" w:sz="6" w:space="0"/>
              <w:bottom w:val="single" w:color="666666" w:sz="6" w:space="0"/>
              <w:right w:val="single" w:color="666666" w:sz="6" w:space="0"/>
            </w:tcBorders>
            <w:shd w:val="clear" w:color="auto" w:fill="auto"/>
            <w:noWrap w:val="0"/>
            <w:vAlign w:val="top"/>
          </w:tcPr>
          <w:p w14:paraId="6701875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1.投标人承诺为采购人每年组织开展不少于一次的相关医学培训活动，提供项目的指导，包括但不限于项目检测建议、临床意义解释和结果分析等服务的得2分，须提供承诺函（格式自拟），未提供的不得分。</w:t>
            </w:r>
          </w:p>
          <w:p w14:paraId="5651051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Hans" w:bidi="ar-SA"/>
              </w:rPr>
            </w:pPr>
            <w:r>
              <w:rPr>
                <w:rFonts w:hint="eastAsia" w:ascii="宋体" w:hAnsi="宋体" w:eastAsia="宋体" w:cs="宋体"/>
                <w:color w:val="auto"/>
                <w:sz w:val="24"/>
                <w:szCs w:val="24"/>
                <w:highlight w:val="none"/>
                <w:lang w:val="en-US" w:eastAsia="zh-CN"/>
              </w:rPr>
              <w:t>2.投标人具备较强的培训管理能力取得培训管理活动相关证书的得1分，须提供相关证明文件复印件</w:t>
            </w:r>
            <w:r>
              <w:rPr>
                <w:rFonts w:hint="eastAsia" w:ascii="宋体" w:hAnsi="宋体" w:eastAsia="宋体" w:cs="宋体"/>
                <w:color w:val="auto"/>
                <w:sz w:val="24"/>
                <w:szCs w:val="24"/>
                <w:highlight w:val="none"/>
              </w:rPr>
              <w:t>。</w:t>
            </w:r>
          </w:p>
        </w:tc>
      </w:tr>
    </w:tbl>
    <w:p w14:paraId="73C0360E">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※除本章第6.3条第（3）款规定情形和落实政府采购政策需进行的价格扣除情形外，不能对投标人的投标报价进行任何调整。</w:t>
      </w:r>
    </w:p>
    <w:p w14:paraId="4514E5FC">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（3）中标候选人排列规则顺序如下：</w:t>
      </w:r>
    </w:p>
    <w:p w14:paraId="7FC110CF">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a.按照评标总得分（FA）由高到低顺序排列。</w:t>
      </w:r>
    </w:p>
    <w:p w14:paraId="5B4FD585">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b.评标总得分（FA）相同的，按照评标价（即价格扣除后的投标报价）由低到高顺序排列。</w:t>
      </w:r>
    </w:p>
    <w:p w14:paraId="6407D136">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c.评标总得分（FA）且评标价（即价格扣除后的投标报价）相同的并列。</w:t>
      </w:r>
    </w:p>
    <w:p w14:paraId="4B1CD148">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8、其他规定</w:t>
      </w:r>
    </w:p>
    <w:p w14:paraId="4DB58AEA">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8.1评标应全程保密且不得透露给任一投标人或与评标工作无关的人员。</w:t>
      </w:r>
    </w:p>
    <w:p w14:paraId="68524C6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8.2评标将进行全程实时录音录像，录音录像资料随采购文件一并存档。</w:t>
      </w:r>
    </w:p>
    <w:p w14:paraId="1B401FD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8.3若投标人有任何试图干扰具体评标事务，影响评标委员会独立履行职责的行为，其投标无效且不予退还投标保证金或通过投标保函进行索赔。情节严重的，由财政部门列入不良行为记录。</w:t>
      </w:r>
    </w:p>
    <w:p w14:paraId="1A049DE2">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8.4其他：无。</w:t>
      </w:r>
    </w:p>
    <w:p w14:paraId="143B7CAD">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3B9CA24">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32"/>
          <w:szCs w:val="32"/>
        </w:rPr>
      </w:pPr>
      <w:r>
        <w:rPr>
          <w:rFonts w:hint="eastAsia" w:ascii="宋体" w:hAnsi="宋体" w:eastAsia="宋体" w:cs="宋体"/>
          <w:b/>
          <w:sz w:val="32"/>
          <w:szCs w:val="32"/>
        </w:rPr>
        <w:t>第五章 招标内容及要求</w:t>
      </w:r>
    </w:p>
    <w:p w14:paraId="36695A37">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一、项目概况（采购标的）</w:t>
      </w:r>
    </w:p>
    <w:p w14:paraId="796973A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为落实国家公立医院高质量发展及“千县工程”政策要求，助力武平县总医院创建三级医院，优化医共体医疗资源配置，本项目拟通过公开招标引入第三方专业机构，统筹推进区域检验中心与区域病理中心建设运营。核心目标为构建标准化、智能化、集约化的区域检验病理服务体系，实现资源共享、结果互认，提升服务能力与质量，降低运营成本，同时保障医疗安全与数据合规，推动区域医疗卫生服务高质量发展。</w:t>
      </w:r>
    </w:p>
    <w:p w14:paraId="0FC8ABC0">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cstheme="minorEastAsia"/>
          <w:b/>
          <w:bCs/>
          <w:color w:val="auto"/>
          <w:sz w:val="24"/>
          <w:szCs w:val="24"/>
          <w:highlight w:val="none"/>
          <w:lang w:eastAsia="zh-CN"/>
        </w:rPr>
        <w:t>（</w:t>
      </w:r>
      <w:r>
        <w:rPr>
          <w:rFonts w:hint="eastAsia" w:asciiTheme="minorEastAsia" w:hAnsiTheme="minorEastAsia" w:cstheme="minorEastAsia"/>
          <w:b/>
          <w:bCs/>
          <w:color w:val="auto"/>
          <w:sz w:val="24"/>
          <w:szCs w:val="24"/>
          <w:highlight w:val="none"/>
          <w:lang w:val="en-US" w:eastAsia="zh-CN"/>
        </w:rPr>
        <w:t>一</w:t>
      </w:r>
      <w:r>
        <w:rPr>
          <w:rFonts w:hint="eastAsia" w:asciiTheme="minorEastAsia" w:hAnsi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eastAsia="zh-CN"/>
        </w:rPr>
        <w:t>区域检验中心建设运营</w:t>
      </w:r>
    </w:p>
    <w:p w14:paraId="74E914B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体系布局与能力建设：按照医共体整体布局，在武平县总医院建设区域检验中心，南院区、北院区建设标准化检验科，16个分院配置符合实验室要求及发展匹配的设备。全面覆盖总医院现有检测项目，满足未来五年发展需求，提高检验自动化与信息化水平，实现全流程标准化，统筹调度实验资源共享与结果互认，提升区域检验服务能力。</w:t>
      </w:r>
    </w:p>
    <w:p w14:paraId="50E8B0C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场地规划与改造：在总医院医学检验中心、南院区及北院区实验室现有场地基础上，按生物安全等相关标准进行流程优化规划设计，确保实验室流程合理、符合质量认可标准。承担区域检验中心及北院区改造所需的装修工程费（含检验中心、北院区实验室空调）。</w:t>
      </w:r>
    </w:p>
    <w:p w14:paraId="17569A0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3.视觉化体系建设：完成医院医学检验中心视觉化体系设计，打造区域检验中心专属视觉形象，具体包含标牌、科室介绍、推广宣传栏、公示栏、服务项目清单、地面标识、窗口标牌及宣传册等。</w:t>
      </w:r>
    </w:p>
    <w:p w14:paraId="6E1A123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4.精益管理实施：派遣精益管理专家团队，对总医院医学检验中心、南院区及北院区实验室开展现场实施工作，内容涵盖6S管理建设、人员动作分析、工作流程分析、视觉化管理及防错管理。</w:t>
      </w:r>
    </w:p>
    <w:p w14:paraId="74D4982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5.信息化系统建设：为区域检验中心搭建完善的信息化体系，包括检验科实验室信息系统（LIS）、质量控制系统、体系文件管理系统、人员培训管理系统、质量指标管理系统、检测项目财务管理系统、检验报告共享系统及实验室各环境控温系统等。</w:t>
      </w:r>
    </w:p>
    <w:p w14:paraId="740D2C3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6.智能窗口建设：为医学检验中心建立智能采血系统，在采血窗口配备自动采血贴标仪、叫号系统，打造智能化窗口服务模式，提升服务效率及患者满意度。</w:t>
      </w:r>
    </w:p>
    <w:p w14:paraId="71D2AAE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7.试剂耗材管理系统：提供SPD系统，实现检验试剂耗材信息化管理，规范采购流程、提升管理水平。SPD系统内所有数据及数据产生的知识信息归医院所有，接口费由中标人承担。</w:t>
      </w:r>
    </w:p>
    <w:p w14:paraId="190D59C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8.冷链物流与质控：负责提供区域冷链物流相关信息系统，含样本管理云系统、智能温控云系统、标本/试剂GPS定位云系统。试剂冷链配送需保障时效性，所供耗材（试剂）必须三证齐全、渠道合法、原厂包装，确保质量。</w:t>
      </w:r>
    </w:p>
    <w:p w14:paraId="78C0588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9.核心设备配置：负责总医院医学检验中心生免流水线及血球流水线建设，提供满足区域检验中心发展所需的全部检验实验室设备及配套设施，并承担相关设备与配套设施的全部费用。</w:t>
      </w:r>
    </w:p>
    <w:p w14:paraId="3C677EF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10.试剂耗材供应：</w:t>
      </w:r>
      <w:r>
        <w:rPr>
          <w:rFonts w:hint="eastAsia" w:asciiTheme="minorEastAsia" w:hAnsiTheme="minorEastAsia" w:cstheme="minorEastAsia"/>
          <w:color w:val="auto"/>
          <w:sz w:val="24"/>
          <w:szCs w:val="24"/>
          <w:highlight w:val="none"/>
          <w:lang w:val="en-US" w:eastAsia="zh-CN"/>
        </w:rPr>
        <w:t>根据</w:t>
      </w:r>
      <w:r>
        <w:rPr>
          <w:rFonts w:hint="eastAsia" w:asciiTheme="minorEastAsia" w:hAnsiTheme="minorEastAsia" w:eastAsiaTheme="minorEastAsia" w:cstheme="minorEastAsia"/>
          <w:color w:val="auto"/>
          <w:sz w:val="24"/>
          <w:szCs w:val="24"/>
          <w:highlight w:val="none"/>
          <w:lang w:eastAsia="zh-CN"/>
        </w:rPr>
        <w:t>武平县总医院制定的检验耗材试剂供货清单（含目录、品牌、规格型号、价格），由中标人负责供应与配送。中标人无法提供的耗材试剂，可委托总医院采购，相关采购费用由中标人承担。</w:t>
      </w:r>
    </w:p>
    <w:p w14:paraId="74A6FF6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11.技术支持与学科建设：根据</w:t>
      </w:r>
      <w:r>
        <w:rPr>
          <w:rFonts w:hint="eastAsia" w:asciiTheme="minorEastAsia" w:hAnsiTheme="minorEastAsia" w:cstheme="minorEastAsia"/>
          <w:color w:val="auto"/>
          <w:sz w:val="24"/>
          <w:szCs w:val="24"/>
          <w:highlight w:val="none"/>
          <w:lang w:val="en-US" w:eastAsia="zh-CN"/>
        </w:rPr>
        <w:t>采购人</w:t>
      </w:r>
      <w:r>
        <w:rPr>
          <w:rFonts w:hint="eastAsia" w:asciiTheme="minorEastAsia" w:hAnsiTheme="minorEastAsia" w:eastAsiaTheme="minorEastAsia" w:cstheme="minorEastAsia"/>
          <w:color w:val="auto"/>
          <w:sz w:val="24"/>
          <w:szCs w:val="24"/>
          <w:highlight w:val="none"/>
          <w:lang w:eastAsia="zh-CN"/>
        </w:rPr>
        <w:t>需求配备专人，协助科室开展检验工作、支持ISO15189创建工作及试剂订单处理；协助推进“重点学科建设”，提升医院核心竞争力。</w:t>
      </w:r>
    </w:p>
    <w:p w14:paraId="77E485F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default" w:asciiTheme="minorEastAsia" w:hAnsi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12.投标人所投入本项目的所有设备（包括信息化系统）须在合同签订后三个月内一次性投放到位且完成试调达到合格使用条件。</w:t>
      </w:r>
      <w:r>
        <w:rPr>
          <w:rFonts w:hint="eastAsia" w:ascii="宋体" w:hAnsi="宋体" w:eastAsia="宋体" w:cs="宋体"/>
          <w:color w:val="000000" w:themeColor="text1"/>
          <w:sz w:val="24"/>
          <w:szCs w:val="24"/>
          <w:highlight w:val="none"/>
          <w14:textFill>
            <w14:solidFill>
              <w14:schemeClr w14:val="tx1"/>
            </w14:solidFill>
          </w14:textFill>
        </w:rPr>
        <w:t>所投</w:t>
      </w:r>
      <w:r>
        <w:rPr>
          <w:rFonts w:hint="eastAsia" w:ascii="宋体" w:hAnsi="宋体" w:eastAsia="宋体" w:cs="宋体"/>
          <w:color w:val="000000" w:themeColor="text1"/>
          <w:sz w:val="24"/>
          <w:szCs w:val="24"/>
          <w:highlight w:val="none"/>
          <w:lang w:val="en-US" w:eastAsia="zh-CN"/>
          <w14:textFill>
            <w14:solidFill>
              <w14:schemeClr w14:val="tx1"/>
            </w14:solidFill>
          </w14:textFill>
        </w:rPr>
        <w:t>入的设备</w:t>
      </w:r>
      <w:r>
        <w:rPr>
          <w:rFonts w:hint="eastAsia" w:ascii="宋体" w:hAnsi="宋体" w:eastAsia="宋体" w:cs="宋体"/>
          <w:color w:val="000000" w:themeColor="text1"/>
          <w:sz w:val="24"/>
          <w:szCs w:val="24"/>
          <w:highlight w:val="none"/>
          <w14:textFill>
            <w14:solidFill>
              <w14:schemeClr w14:val="tx1"/>
            </w14:solidFill>
          </w14:textFill>
        </w:rPr>
        <w:t>若属于医疗器械管理范畴，</w:t>
      </w:r>
      <w:r>
        <w:rPr>
          <w:rFonts w:hint="eastAsia" w:ascii="宋体" w:hAnsi="宋体" w:eastAsia="宋体" w:cs="宋体"/>
          <w:color w:val="000000" w:themeColor="text1"/>
          <w:sz w:val="24"/>
          <w:szCs w:val="24"/>
          <w:highlight w:val="none"/>
          <w:lang w:val="en-US" w:eastAsia="zh-CN"/>
          <w14:textFill>
            <w14:solidFill>
              <w14:schemeClr w14:val="tx1"/>
            </w14:solidFill>
          </w14:textFill>
        </w:rPr>
        <w:t>应当符合</w:t>
      </w:r>
      <w:r>
        <w:rPr>
          <w:rFonts w:hint="eastAsia" w:ascii="宋体" w:hAnsi="宋体" w:eastAsia="宋体" w:cs="宋体"/>
          <w:color w:val="000000" w:themeColor="text1"/>
          <w:sz w:val="24"/>
          <w:szCs w:val="24"/>
          <w:highlight w:val="none"/>
          <w14:textFill>
            <w14:solidFill>
              <w14:schemeClr w14:val="tx1"/>
            </w14:solidFill>
          </w14:textFill>
        </w:rPr>
        <w:t>国家《医疗器械监督管理条例》</w:t>
      </w:r>
      <w:r>
        <w:rPr>
          <w:rFonts w:hint="eastAsia" w:ascii="宋体" w:hAnsi="宋体" w:eastAsia="宋体" w:cs="宋体"/>
          <w:color w:val="000000" w:themeColor="text1"/>
          <w:sz w:val="24"/>
          <w:szCs w:val="24"/>
          <w:highlight w:val="none"/>
          <w:lang w:eastAsia="zh-CN"/>
          <w14:textFill>
            <w14:solidFill>
              <w14:schemeClr w14:val="tx1"/>
            </w14:solidFill>
          </w14:textFill>
        </w:rPr>
        <w:t>的</w:t>
      </w:r>
      <w:r>
        <w:rPr>
          <w:rFonts w:hint="eastAsia" w:ascii="宋体" w:hAnsi="宋体" w:eastAsia="宋体" w:cs="宋体"/>
          <w:color w:val="000000" w:themeColor="text1"/>
          <w:sz w:val="24"/>
          <w:szCs w:val="24"/>
          <w:highlight w:val="none"/>
          <w:lang w:val="en-US" w:eastAsia="zh-CN"/>
          <w14:textFill>
            <w14:solidFill>
              <w14:schemeClr w14:val="tx1"/>
            </w14:solidFill>
          </w14:textFill>
        </w:rPr>
        <w:t>规定。</w:t>
      </w:r>
    </w:p>
    <w:p w14:paraId="6F40B771">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cstheme="minorEastAsia"/>
          <w:b/>
          <w:bCs/>
          <w:color w:val="auto"/>
          <w:sz w:val="24"/>
          <w:szCs w:val="24"/>
          <w:highlight w:val="none"/>
          <w:lang w:eastAsia="zh-CN"/>
        </w:rPr>
        <w:t>（</w:t>
      </w:r>
      <w:r>
        <w:rPr>
          <w:rFonts w:hint="eastAsia" w:asciiTheme="minorEastAsia" w:hAnsiTheme="minorEastAsia" w:cstheme="minorEastAsia"/>
          <w:b/>
          <w:bCs/>
          <w:color w:val="auto"/>
          <w:sz w:val="24"/>
          <w:szCs w:val="24"/>
          <w:highlight w:val="none"/>
          <w:lang w:val="en-US" w:eastAsia="zh-CN"/>
        </w:rPr>
        <w:t>二</w:t>
      </w:r>
      <w:r>
        <w:rPr>
          <w:rFonts w:hint="eastAsia" w:asciiTheme="minorEastAsia" w:hAnsi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eastAsia="zh-CN"/>
        </w:rPr>
        <w:t>区域病理中心建设运营</w:t>
      </w:r>
    </w:p>
    <w:p w14:paraId="7E743F5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1.中心规划与建设：负责武平县总医院病理中心的整体设计、规划及相关建设工作，确保符合生物安全、质量认可等相关标准，满足区域病理诊断服务发展需求。</w:t>
      </w:r>
    </w:p>
    <w:p w14:paraId="769C19C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2.设备配置与运维：提供病理实验室所需的全部设备，涵盖冰冻切片、组织脱水、免疫组化、数字切片扫描等核心设备，并承担设备的维修、维护保养及校准校验工作，保障设备稳定运行。</w:t>
      </w:r>
    </w:p>
    <w:p w14:paraId="670EE23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3.试剂耗材供应：根据病理中心开展项目需求，提供实验室及日常业务开展所需的全部试剂和耗材，确保所有医疗耗材和试剂均符合国家相关法规及质量标准要求。</w:t>
      </w:r>
    </w:p>
    <w:p w14:paraId="3689785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4.管理体系建设：负责协助总医院开展病理学科质量管理和运营体系建设，建立健全标准化工作流程，促进科室有序运行与持续改善。</w:t>
      </w:r>
    </w:p>
    <w:p w14:paraId="1EDDEA0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5.技术平台搭建：搭建符合项目需求的远程病理会诊系统，系统需支持区域内疑难病理病例的远程诊断需求，引入省级及以上病理学科权威专家团队提供技术指导与会诊支持，确保急诊与常规病例的诊断时效性；协助建立覆盖肿瘤病理、免疫组化、分子病理等常见类型的标准化报告模板，规范报告格式与内容，提升报告质量与规范性，满足医院对病理报告标准化的评审要求。</w:t>
      </w:r>
    </w:p>
    <w:p w14:paraId="5B922F8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6.业务能力提升：在完善现有组织病理、细胞病理诊断等常规项目基础上，引进冰冻病理、分子病理、免疫组化、肾穿刺、骨髓穿刺、疑难会诊等高端病理技术项目；负责相关技术的临床需求对接、人员培训、报告解读及临床沟通等全流程工作。</w:t>
      </w:r>
    </w:p>
    <w:p w14:paraId="2AE18D5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7.标本物流与安全：搭建覆盖总医院及相关医疗机构的病理标本物流网络，每日安排专业接收员适时收取送检标本，严格规范标本的收集、保存与分装流程。若在运输保管过程中出现影响标本检验质量的情形，由中标</w:t>
      </w:r>
      <w:r>
        <w:rPr>
          <w:rFonts w:hint="eastAsia" w:asciiTheme="minorEastAsia" w:hAnsiTheme="minorEastAsia" w:cstheme="minorEastAsia"/>
          <w:color w:val="auto"/>
          <w:sz w:val="24"/>
          <w:szCs w:val="24"/>
          <w:highlight w:val="none"/>
          <w:lang w:val="en-US" w:eastAsia="zh-CN"/>
        </w:rPr>
        <w:t>人</w:t>
      </w:r>
      <w:r>
        <w:rPr>
          <w:rFonts w:hint="eastAsia" w:asciiTheme="minorEastAsia" w:hAnsiTheme="minorEastAsia" w:eastAsiaTheme="minorEastAsia" w:cstheme="minorEastAsia"/>
          <w:color w:val="auto"/>
          <w:sz w:val="24"/>
          <w:szCs w:val="24"/>
          <w:highlight w:val="none"/>
          <w:lang w:eastAsia="zh-CN"/>
        </w:rPr>
        <w:t>承担全部责任及经济损失。</w:t>
      </w:r>
    </w:p>
    <w:p w14:paraId="39F9B76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8.人员培训保障：根据总医院业务发展需要，免费为医院工作人员提供病理学短、中、长期专项培训，提升相关人员专业技术水平与业务能力。</w:t>
      </w:r>
    </w:p>
    <w:p w14:paraId="52317A3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9.精益管理实施：派遣精益管理专家团队，对病理中心开展现场精益管理实施工作，内容涵盖6S管理建设、人员动作分析、工作流程分析、视觉化管理及防错管理，提升科室运营效率。</w:t>
      </w:r>
    </w:p>
    <w:p w14:paraId="32EE3BF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10.信息化建设支撑：协助搭建病理学科相关信息化系统，含病理报告电子档案管理系统、质量控制管理系统等，实现与医院HIS/LIS系统的数据对接，保障信息互通与共享；相关信息化系统数据及衍生知识信息归医院所有。</w:t>
      </w:r>
    </w:p>
    <w:p w14:paraId="41C3D79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cstheme="minorEastAsia"/>
          <w:b/>
          <w:bCs w:val="0"/>
          <w:color w:val="auto"/>
          <w:spacing w:val="0"/>
          <w:sz w:val="24"/>
          <w:szCs w:val="24"/>
          <w:highlight w:val="none"/>
          <w:lang w:eastAsia="zh-CN"/>
        </w:rPr>
        <w:t>（</w:t>
      </w:r>
      <w:r>
        <w:rPr>
          <w:rStyle w:val="10"/>
          <w:rFonts w:hint="eastAsia" w:asciiTheme="minorEastAsia" w:hAnsiTheme="minorEastAsia" w:cstheme="minorEastAsia"/>
          <w:b/>
          <w:bCs w:val="0"/>
          <w:color w:val="auto"/>
          <w:spacing w:val="0"/>
          <w:sz w:val="24"/>
          <w:szCs w:val="24"/>
          <w:highlight w:val="none"/>
          <w:lang w:val="en-US" w:eastAsia="zh-CN"/>
        </w:rPr>
        <w:t>三</w:t>
      </w:r>
      <w:r>
        <w:rPr>
          <w:rStyle w:val="10"/>
          <w:rFonts w:hint="eastAsia" w:asciiTheme="minorEastAsia" w:hAnsiTheme="minorEastAsia" w:cstheme="minorEastAsia"/>
          <w:b/>
          <w:bCs w:val="0"/>
          <w:color w:val="auto"/>
          <w:spacing w:val="0"/>
          <w:sz w:val="24"/>
          <w:szCs w:val="24"/>
          <w:highlight w:val="none"/>
          <w:lang w:eastAsia="zh-CN"/>
        </w:rPr>
        <w:t>）</w:t>
      </w:r>
      <w:r>
        <w:rPr>
          <w:rStyle w:val="10"/>
          <w:rFonts w:hint="eastAsia" w:asciiTheme="minorEastAsia" w:hAnsiTheme="minorEastAsia" w:eastAsiaTheme="minorEastAsia" w:cstheme="minorEastAsia"/>
          <w:b/>
          <w:bCs w:val="0"/>
          <w:color w:val="auto"/>
          <w:spacing w:val="0"/>
          <w:sz w:val="24"/>
          <w:szCs w:val="24"/>
          <w:highlight w:val="none"/>
          <w:lang w:eastAsia="zh-CN"/>
        </w:rPr>
        <w:t>区域检验、病理中心</w:t>
      </w:r>
      <w:r>
        <w:rPr>
          <w:rFonts w:hint="eastAsia" w:asciiTheme="minorEastAsia" w:hAnsiTheme="minorEastAsia" w:eastAsiaTheme="minorEastAsia" w:cstheme="minorEastAsia"/>
          <w:b/>
          <w:bCs w:val="0"/>
          <w:color w:val="auto"/>
          <w:sz w:val="24"/>
          <w:szCs w:val="24"/>
          <w:highlight w:val="none"/>
        </w:rPr>
        <w:t>试剂供应及管理</w:t>
      </w:r>
      <w:r>
        <w:rPr>
          <w:rStyle w:val="10"/>
          <w:rFonts w:hint="eastAsia" w:asciiTheme="minorEastAsia" w:hAnsiTheme="minorEastAsia" w:eastAsiaTheme="minorEastAsia" w:cstheme="minorEastAsia"/>
          <w:b/>
          <w:bCs w:val="0"/>
          <w:color w:val="auto"/>
          <w:spacing w:val="0"/>
          <w:sz w:val="24"/>
          <w:szCs w:val="24"/>
          <w:highlight w:val="none"/>
        </w:rPr>
        <w:t>要求</w:t>
      </w:r>
    </w:p>
    <w:p w14:paraId="72646FC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1.医院制定检验耗材试剂供货清单（目录、品牌、规格型号、价格），由投标人负责提供并配送。</w:t>
      </w:r>
      <w:r>
        <w:rPr>
          <w:rFonts w:hint="eastAsia" w:asciiTheme="minorEastAsia" w:hAnsiTheme="minorEastAsia" w:eastAsiaTheme="minorEastAsia" w:cstheme="minorEastAsia"/>
          <w:color w:val="auto"/>
          <w:spacing w:val="0"/>
          <w:sz w:val="24"/>
          <w:szCs w:val="24"/>
          <w:highlight w:val="none"/>
        </w:rPr>
        <w:t>中标人无法提供的，</w:t>
      </w:r>
      <w:r>
        <w:rPr>
          <w:rFonts w:hint="eastAsia" w:asciiTheme="minorEastAsia" w:hAnsiTheme="minorEastAsia" w:eastAsiaTheme="minorEastAsia" w:cstheme="minorEastAsia"/>
          <w:color w:val="auto"/>
          <w:spacing w:val="0"/>
          <w:sz w:val="24"/>
          <w:szCs w:val="24"/>
          <w:highlight w:val="none"/>
          <w:lang w:eastAsia="zh-CN"/>
        </w:rPr>
        <w:t>委托</w:t>
      </w:r>
      <w:r>
        <w:rPr>
          <w:rFonts w:hint="eastAsia" w:asciiTheme="minorEastAsia" w:hAnsiTheme="minorEastAsia" w:eastAsiaTheme="minorEastAsia" w:cstheme="minorEastAsia"/>
          <w:color w:val="auto"/>
          <w:spacing w:val="0"/>
          <w:sz w:val="24"/>
          <w:szCs w:val="24"/>
          <w:highlight w:val="none"/>
          <w:lang w:val="en-US" w:eastAsia="zh-CN"/>
        </w:rPr>
        <w:t>医院</w:t>
      </w:r>
      <w:r>
        <w:rPr>
          <w:rFonts w:hint="eastAsia" w:asciiTheme="minorEastAsia" w:hAnsiTheme="minorEastAsia" w:eastAsiaTheme="minorEastAsia" w:cstheme="minorEastAsia"/>
          <w:color w:val="auto"/>
          <w:spacing w:val="0"/>
          <w:sz w:val="24"/>
          <w:szCs w:val="24"/>
          <w:highlight w:val="none"/>
        </w:rPr>
        <w:t>采购其他耗材试剂，采购费用</w:t>
      </w:r>
      <w:r>
        <w:rPr>
          <w:rFonts w:hint="eastAsia" w:asciiTheme="minorEastAsia" w:hAnsiTheme="minorEastAsia" w:eastAsiaTheme="minorEastAsia" w:cstheme="minorEastAsia"/>
          <w:color w:val="auto"/>
          <w:spacing w:val="0"/>
          <w:sz w:val="24"/>
          <w:szCs w:val="24"/>
          <w:highlight w:val="none"/>
          <w:lang w:eastAsia="zh-CN"/>
        </w:rPr>
        <w:t>由中标人承担</w:t>
      </w:r>
      <w:r>
        <w:rPr>
          <w:rFonts w:hint="eastAsia" w:asciiTheme="minorEastAsia" w:hAnsiTheme="minorEastAsia" w:eastAsiaTheme="minorEastAsia" w:cstheme="minorEastAsia"/>
          <w:color w:val="auto"/>
          <w:spacing w:val="0"/>
          <w:sz w:val="24"/>
          <w:szCs w:val="24"/>
          <w:highlight w:val="none"/>
        </w:rPr>
        <w:t>。</w:t>
      </w:r>
    </w:p>
    <w:p w14:paraId="6FA543C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2.投标人需保证试剂质量，所提供的相关试剂为正规渠道的合格产品，三证齐全，所提供的产品为有效期内的产品。如因产品问题引起的差错纠纷，由投标人承担。</w:t>
      </w:r>
    </w:p>
    <w:p w14:paraId="6AEB562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3.</w:t>
      </w:r>
      <w:r>
        <w:rPr>
          <w:rFonts w:hint="eastAsia" w:asciiTheme="minorEastAsia" w:hAnsiTheme="minorEastAsia" w:eastAsiaTheme="minorEastAsia" w:cstheme="minorEastAsia"/>
          <w:color w:val="auto"/>
          <w:spacing w:val="0"/>
          <w:sz w:val="24"/>
          <w:szCs w:val="24"/>
          <w:highlight w:val="none"/>
        </w:rPr>
        <w:t>投标人应确保所提供的试剂为国家政策法规允许下的产品</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rPr>
        <w:t>符合国家的相关法律法规要求</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eastAsia="zh-CN"/>
        </w:rPr>
        <w:t>投标人应具备国家政策法规要求的相应资质，若不具备相应资质投标人须委托具有相应资质的供应商提供符合要求的试剂，并</w:t>
      </w:r>
      <w:r>
        <w:rPr>
          <w:rFonts w:hint="eastAsia" w:asciiTheme="minorEastAsia" w:hAnsiTheme="minorEastAsia" w:eastAsiaTheme="minorEastAsia" w:cstheme="minorEastAsia"/>
          <w:color w:val="auto"/>
          <w:spacing w:val="0"/>
          <w:sz w:val="24"/>
          <w:szCs w:val="24"/>
          <w:highlight w:val="none"/>
        </w:rPr>
        <w:t>确保试剂来源途径合法，且是经国家药监部门合法注册的试剂，</w:t>
      </w:r>
      <w:r>
        <w:rPr>
          <w:rFonts w:hint="eastAsia" w:asciiTheme="minorEastAsia" w:hAnsiTheme="minorEastAsia" w:eastAsiaTheme="minorEastAsia" w:cstheme="minorEastAsia"/>
          <w:color w:val="auto"/>
          <w:sz w:val="24"/>
          <w:szCs w:val="24"/>
          <w:highlight w:val="none"/>
        </w:rPr>
        <w:t>如出现不合格的产品所造成的责任均由中标人承担负责</w:t>
      </w:r>
      <w:r>
        <w:rPr>
          <w:rFonts w:hint="eastAsia" w:asciiTheme="minorEastAsia" w:hAnsiTheme="minorEastAsia" w:eastAsiaTheme="minorEastAsia" w:cstheme="minorEastAsia"/>
          <w:color w:val="auto"/>
          <w:sz w:val="24"/>
          <w:szCs w:val="24"/>
          <w:highlight w:val="none"/>
          <w:lang w:eastAsia="zh-CN"/>
        </w:rPr>
        <w:t>。</w:t>
      </w:r>
    </w:p>
    <w:p w14:paraId="7AFF235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投标人负责提供</w:t>
      </w:r>
      <w:r>
        <w:rPr>
          <w:rStyle w:val="10"/>
          <w:rFonts w:hint="eastAsia" w:asciiTheme="minorEastAsia" w:hAnsiTheme="minorEastAsia" w:eastAsiaTheme="minorEastAsia" w:cstheme="minorEastAsia"/>
          <w:b w:val="0"/>
          <w:bCs/>
          <w:color w:val="auto"/>
          <w:spacing w:val="0"/>
          <w:sz w:val="24"/>
          <w:szCs w:val="24"/>
          <w:highlight w:val="none"/>
          <w:lang w:eastAsia="zh-CN"/>
        </w:rPr>
        <w:t>区域检验、病理中心及</w:t>
      </w:r>
      <w:r>
        <w:rPr>
          <w:rFonts w:hint="eastAsia" w:asciiTheme="minorEastAsia" w:hAnsiTheme="minorEastAsia" w:eastAsiaTheme="minorEastAsia" w:cstheme="minorEastAsia"/>
          <w:color w:val="auto"/>
          <w:sz w:val="24"/>
          <w:szCs w:val="24"/>
          <w:highlight w:val="none"/>
          <w:lang w:val="en-US" w:eastAsia="zh-CN"/>
        </w:rPr>
        <w:t>下属医疗机构</w:t>
      </w:r>
      <w:r>
        <w:rPr>
          <w:rFonts w:hint="eastAsia" w:asciiTheme="minorEastAsia" w:hAnsiTheme="minorEastAsia" w:eastAsiaTheme="minorEastAsia" w:cstheme="minorEastAsia"/>
          <w:color w:val="auto"/>
          <w:sz w:val="24"/>
          <w:szCs w:val="24"/>
          <w:highlight w:val="none"/>
        </w:rPr>
        <w:t>检验日常业务开展所需试剂，确保所提供的实验室试剂均符合相关的要求，同时负责管理试剂及样本物流。</w:t>
      </w:r>
    </w:p>
    <w:p w14:paraId="090BA5C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4.如遇上级政府集中招投标采购，必须遵守政府部门相关规定，采购集中采购中标目录内产品，具体产品品牌规格与采购人协商确定。</w:t>
      </w:r>
    </w:p>
    <w:p w14:paraId="24AA70A1">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Fonts w:hint="eastAsia" w:asciiTheme="minorEastAsia" w:hAnsiTheme="minorEastAsia" w:cstheme="minorEastAsia"/>
          <w:b/>
          <w:bCs/>
          <w:color w:val="auto"/>
          <w:sz w:val="24"/>
          <w:szCs w:val="24"/>
          <w:highlight w:val="none"/>
          <w:lang w:val="en-US" w:eastAsia="zh-CN"/>
        </w:rPr>
      </w:pPr>
      <w:r>
        <w:rPr>
          <w:rFonts w:hint="eastAsia" w:asciiTheme="minorEastAsia" w:hAnsiTheme="minorEastAsia" w:cstheme="minorEastAsia"/>
          <w:b/>
          <w:bCs/>
          <w:color w:val="auto"/>
          <w:sz w:val="24"/>
          <w:szCs w:val="24"/>
          <w:highlight w:val="none"/>
          <w:lang w:val="en-US" w:eastAsia="zh-CN"/>
        </w:rPr>
        <w:t>（四）项目服务年限</w:t>
      </w:r>
    </w:p>
    <w:p w14:paraId="45FE4C0A">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480" w:firstLineChars="200"/>
        <w:textAlignment w:val="auto"/>
        <w:rPr>
          <w:rFonts w:hint="default" w:asciiTheme="minorEastAsia" w:hAnsiTheme="minorEastAsia" w:cstheme="minorEastAsia"/>
          <w:b w:val="0"/>
          <w:bCs w:val="0"/>
          <w:color w:val="auto"/>
          <w:sz w:val="24"/>
          <w:szCs w:val="24"/>
          <w:highlight w:val="none"/>
          <w:lang w:val="en-US" w:eastAsia="zh-CN"/>
        </w:rPr>
      </w:pPr>
      <w:r>
        <w:rPr>
          <w:rFonts w:hint="eastAsia" w:asciiTheme="minorEastAsia" w:hAnsiTheme="minorEastAsia" w:cstheme="minorEastAsia"/>
          <w:b w:val="0"/>
          <w:bCs w:val="0"/>
          <w:color w:val="auto"/>
          <w:sz w:val="24"/>
          <w:szCs w:val="24"/>
          <w:highlight w:val="none"/>
          <w:lang w:val="en-US" w:eastAsia="zh-CN"/>
        </w:rPr>
        <w:t>本项目为一签多年项目：项目预算金额1981万元/年，预算指标逐年批复，总预算金额为3年5943万元，总服务年限3年，合同一年一签。</w:t>
      </w:r>
    </w:p>
    <w:p w14:paraId="276C44CD">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cstheme="minorEastAsia"/>
          <w:b/>
          <w:bCs/>
          <w:color w:val="auto"/>
          <w:sz w:val="24"/>
          <w:szCs w:val="24"/>
          <w:highlight w:val="none"/>
          <w:lang w:val="en-US" w:eastAsia="zh-CN"/>
        </w:rPr>
        <w:t>（五）报价要求与</w:t>
      </w:r>
      <w:r>
        <w:rPr>
          <w:rFonts w:hint="eastAsia" w:asciiTheme="minorEastAsia" w:hAnsiTheme="minorEastAsia" w:eastAsiaTheme="minorEastAsia" w:cstheme="minorEastAsia"/>
          <w:b/>
          <w:bCs/>
          <w:color w:val="auto"/>
          <w:sz w:val="24"/>
          <w:szCs w:val="24"/>
          <w:highlight w:val="none"/>
          <w:lang w:val="en-US" w:eastAsia="zh-CN"/>
        </w:rPr>
        <w:t>费用</w:t>
      </w:r>
      <w:r>
        <w:rPr>
          <w:rFonts w:hint="eastAsia" w:asciiTheme="minorEastAsia" w:hAnsiTheme="minorEastAsia" w:eastAsiaTheme="minorEastAsia" w:cstheme="minorEastAsia"/>
          <w:b/>
          <w:bCs/>
          <w:color w:val="auto"/>
          <w:sz w:val="24"/>
          <w:szCs w:val="24"/>
          <w:highlight w:val="none"/>
        </w:rPr>
        <w:t>结算</w:t>
      </w:r>
    </w:p>
    <w:p w14:paraId="6963C1A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b/>
          <w:bCs/>
          <w:color w:val="auto"/>
          <w:spacing w:val="0"/>
          <w:sz w:val="24"/>
          <w:szCs w:val="24"/>
          <w:highlight w:val="none"/>
          <w:lang w:val="en-US" w:eastAsia="zh-CN"/>
        </w:rPr>
      </w:pP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投标人根据</w:t>
      </w:r>
      <w:r>
        <w:rPr>
          <w:rFonts w:hint="eastAsia" w:asciiTheme="minorEastAsia" w:hAnsiTheme="minorEastAsia" w:eastAsiaTheme="minorEastAsia" w:cstheme="minorEastAsia"/>
          <w:color w:val="auto"/>
          <w:sz w:val="24"/>
          <w:szCs w:val="24"/>
          <w:highlight w:val="none"/>
        </w:rPr>
        <w:t>医院</w:t>
      </w:r>
      <w:r>
        <w:rPr>
          <w:rFonts w:hint="eastAsia" w:asciiTheme="minorEastAsia" w:hAnsiTheme="minorEastAsia" w:eastAsiaTheme="minorEastAsia" w:cstheme="minorEastAsia"/>
          <w:color w:val="auto"/>
          <w:sz w:val="24"/>
          <w:szCs w:val="24"/>
          <w:highlight w:val="none"/>
          <w:lang w:val="en-US" w:eastAsia="zh-CN"/>
        </w:rPr>
        <w:t>按照在区域检验、病理中心检测开展项目的</w:t>
      </w:r>
      <w:r>
        <w:rPr>
          <w:rFonts w:hint="eastAsia" w:asciiTheme="minorEastAsia" w:hAnsiTheme="minorEastAsia" w:eastAsiaTheme="minorEastAsia" w:cstheme="minorEastAsia"/>
          <w:color w:val="auto"/>
          <w:sz w:val="24"/>
          <w:szCs w:val="24"/>
          <w:highlight w:val="none"/>
        </w:rPr>
        <w:t>收入</w:t>
      </w:r>
      <w:r>
        <w:rPr>
          <w:rFonts w:hint="eastAsia" w:asciiTheme="minorEastAsia" w:hAnsiTheme="minorEastAsia" w:eastAsiaTheme="minorEastAsia" w:cstheme="minorEastAsia"/>
          <w:color w:val="auto"/>
          <w:sz w:val="24"/>
          <w:szCs w:val="24"/>
          <w:highlight w:val="none"/>
          <w:lang w:eastAsia="zh-CN"/>
        </w:rPr>
        <w:t>投报结算</w:t>
      </w:r>
      <w:r>
        <w:rPr>
          <w:rFonts w:hint="eastAsia" w:asciiTheme="minorEastAsia" w:hAnsiTheme="minorEastAsia" w:eastAsiaTheme="minorEastAsia" w:cstheme="minorEastAsia"/>
          <w:color w:val="auto"/>
          <w:sz w:val="24"/>
          <w:szCs w:val="24"/>
          <w:highlight w:val="none"/>
          <w:lang w:val="en-US" w:eastAsia="zh-CN"/>
        </w:rPr>
        <w:t>比例，</w:t>
      </w:r>
      <w:r>
        <w:rPr>
          <w:rFonts w:hint="eastAsia" w:asciiTheme="minorEastAsia" w:hAnsiTheme="minorEastAsia" w:eastAsiaTheme="minorEastAsia" w:cstheme="minorEastAsia"/>
          <w:color w:val="auto"/>
          <w:sz w:val="24"/>
          <w:szCs w:val="24"/>
          <w:highlight w:val="none"/>
        </w:rPr>
        <w:t>结算比例最高不超过</w:t>
      </w:r>
      <w:r>
        <w:rPr>
          <w:rFonts w:hint="eastAsia" w:asciiTheme="minorEastAsia" w:hAnsiTheme="minorEastAsia" w:eastAsiaTheme="minorEastAsia" w:cstheme="minorEastAsia"/>
          <w:color w:val="auto"/>
          <w:sz w:val="24"/>
          <w:szCs w:val="24"/>
          <w:highlight w:val="none"/>
          <w:lang w:val="en-US" w:eastAsia="zh-CN"/>
        </w:rPr>
        <w:t>34</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w:t>
      </w:r>
    </w:p>
    <w:p w14:paraId="58C76CD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2" w:firstLineChars="200"/>
        <w:jc w:val="left"/>
        <w:textAlignment w:val="auto"/>
        <w:rPr>
          <w:rFonts w:hint="eastAsia" w:asciiTheme="minorEastAsia" w:hAnsiTheme="minorEastAsia" w:eastAsiaTheme="minorEastAsia" w:cstheme="minorEastAsia"/>
          <w:b/>
          <w:bCs/>
          <w:color w:val="auto"/>
          <w:spacing w:val="0"/>
          <w:sz w:val="24"/>
          <w:szCs w:val="24"/>
          <w:highlight w:val="none"/>
          <w:lang w:val="en-US" w:eastAsia="zh-CN"/>
        </w:rPr>
      </w:pPr>
      <w:r>
        <w:rPr>
          <w:rFonts w:hint="eastAsia" w:asciiTheme="minorEastAsia" w:hAnsiTheme="minorEastAsia" w:cstheme="minorEastAsia"/>
          <w:b/>
          <w:bCs/>
          <w:color w:val="auto"/>
          <w:spacing w:val="0"/>
          <w:sz w:val="24"/>
          <w:szCs w:val="24"/>
          <w:highlight w:val="none"/>
          <w:lang w:val="en-US" w:eastAsia="zh-CN"/>
        </w:rPr>
        <w:t>2</w:t>
      </w:r>
      <w:r>
        <w:rPr>
          <w:rFonts w:hint="eastAsia" w:asciiTheme="minorEastAsia" w:hAnsiTheme="minorEastAsia" w:eastAsiaTheme="minorEastAsia" w:cstheme="minorEastAsia"/>
          <w:b/>
          <w:bCs/>
          <w:color w:val="auto"/>
          <w:spacing w:val="0"/>
          <w:sz w:val="24"/>
          <w:szCs w:val="24"/>
          <w:highlight w:val="none"/>
          <w:lang w:val="en-US" w:eastAsia="zh-CN"/>
        </w:rPr>
        <w:t>.</w:t>
      </w:r>
      <w:r>
        <w:rPr>
          <w:rFonts w:hint="eastAsia" w:asciiTheme="minorEastAsia" w:hAnsiTheme="minorEastAsia" w:cstheme="minorEastAsia"/>
          <w:b/>
          <w:bCs/>
          <w:color w:val="auto"/>
          <w:spacing w:val="0"/>
          <w:sz w:val="24"/>
          <w:szCs w:val="24"/>
          <w:highlight w:val="none"/>
          <w:lang w:val="en-US" w:eastAsia="zh-CN"/>
        </w:rPr>
        <w:t>1</w:t>
      </w:r>
      <w:r>
        <w:rPr>
          <w:rFonts w:hint="eastAsia" w:asciiTheme="minorEastAsia" w:hAnsiTheme="minorEastAsia" w:eastAsiaTheme="minorEastAsia" w:cstheme="minorEastAsia"/>
          <w:b/>
          <w:bCs/>
          <w:color w:val="auto"/>
          <w:spacing w:val="0"/>
          <w:sz w:val="24"/>
          <w:szCs w:val="24"/>
          <w:highlight w:val="none"/>
          <w:lang w:val="en-US" w:eastAsia="zh-CN"/>
        </w:rPr>
        <w:t>投标人在</w:t>
      </w:r>
      <w:r>
        <w:rPr>
          <w:rFonts w:hint="eastAsia" w:asciiTheme="minorEastAsia" w:hAnsiTheme="minorEastAsia" w:cstheme="minorEastAsia"/>
          <w:b/>
          <w:bCs/>
          <w:color w:val="auto"/>
          <w:spacing w:val="0"/>
          <w:sz w:val="24"/>
          <w:szCs w:val="24"/>
          <w:highlight w:val="none"/>
          <w:lang w:val="en-US" w:eastAsia="zh-CN"/>
        </w:rPr>
        <w:t>福建省</w:t>
      </w:r>
      <w:r>
        <w:rPr>
          <w:rFonts w:hint="eastAsia" w:asciiTheme="minorEastAsia" w:hAnsiTheme="minorEastAsia" w:eastAsiaTheme="minorEastAsia" w:cstheme="minorEastAsia"/>
          <w:b/>
          <w:bCs/>
          <w:color w:val="auto"/>
          <w:spacing w:val="0"/>
          <w:sz w:val="24"/>
          <w:szCs w:val="24"/>
          <w:highlight w:val="none"/>
          <w:lang w:val="en-US" w:eastAsia="zh-CN"/>
        </w:rPr>
        <w:t>网上公开信息系统的投标总价均按采购包最高限价19810000元填报,未按要求填报的</w:t>
      </w:r>
      <w:r>
        <w:rPr>
          <w:rFonts w:hint="eastAsia" w:asciiTheme="minorEastAsia" w:hAnsiTheme="minorEastAsia" w:cstheme="minorEastAsia"/>
          <w:b/>
          <w:bCs/>
          <w:color w:val="auto"/>
          <w:spacing w:val="0"/>
          <w:sz w:val="24"/>
          <w:szCs w:val="24"/>
          <w:highlight w:val="none"/>
          <w:lang w:val="en-US" w:eastAsia="zh-CN"/>
        </w:rPr>
        <w:t>无效投标处理</w:t>
      </w:r>
      <w:r>
        <w:rPr>
          <w:rFonts w:hint="eastAsia" w:asciiTheme="minorEastAsia" w:hAnsiTheme="minorEastAsia" w:eastAsiaTheme="minorEastAsia" w:cstheme="minorEastAsia"/>
          <w:b/>
          <w:bCs/>
          <w:color w:val="auto"/>
          <w:spacing w:val="0"/>
          <w:sz w:val="24"/>
          <w:szCs w:val="24"/>
          <w:highlight w:val="none"/>
          <w:lang w:val="en-US" w:eastAsia="zh-CN"/>
        </w:rPr>
        <w:t>。</w:t>
      </w:r>
    </w:p>
    <w:p w14:paraId="71FAC2B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2" w:firstLineChars="200"/>
        <w:jc w:val="left"/>
        <w:textAlignment w:val="auto"/>
        <w:rPr>
          <w:rFonts w:hint="eastAsia" w:asciiTheme="minorEastAsia" w:hAnsiTheme="minorEastAsia" w:cstheme="minorEastAsia"/>
          <w:b/>
          <w:bCs/>
          <w:color w:val="auto"/>
          <w:spacing w:val="0"/>
          <w:sz w:val="24"/>
          <w:szCs w:val="24"/>
          <w:highlight w:val="none"/>
          <w:lang w:val="en-US" w:eastAsia="zh-CN"/>
        </w:rPr>
      </w:pPr>
      <w:r>
        <w:rPr>
          <w:rFonts w:hint="eastAsia" w:asciiTheme="minorEastAsia" w:hAnsiTheme="minorEastAsia" w:cstheme="minorEastAsia"/>
          <w:b/>
          <w:bCs/>
          <w:color w:val="auto"/>
          <w:spacing w:val="0"/>
          <w:sz w:val="24"/>
          <w:szCs w:val="24"/>
          <w:highlight w:val="none"/>
          <w:lang w:val="en-US" w:eastAsia="zh-CN"/>
        </w:rPr>
        <w:t>2.2</w:t>
      </w:r>
      <w:r>
        <w:rPr>
          <w:rFonts w:hint="eastAsia" w:asciiTheme="minorEastAsia" w:hAnsiTheme="minorEastAsia" w:eastAsiaTheme="minorEastAsia" w:cstheme="minorEastAsia"/>
          <w:b/>
          <w:bCs/>
          <w:color w:val="auto"/>
          <w:spacing w:val="0"/>
          <w:sz w:val="24"/>
          <w:szCs w:val="24"/>
          <w:highlight w:val="none"/>
          <w:lang w:val="en-US" w:eastAsia="zh-CN"/>
        </w:rPr>
        <w:t>投标人</w:t>
      </w:r>
      <w:r>
        <w:rPr>
          <w:rFonts w:hint="eastAsia" w:asciiTheme="minorEastAsia" w:hAnsiTheme="minorEastAsia" w:cstheme="minorEastAsia"/>
          <w:b/>
          <w:bCs/>
          <w:color w:val="auto"/>
          <w:spacing w:val="0"/>
          <w:sz w:val="24"/>
          <w:szCs w:val="24"/>
          <w:highlight w:val="none"/>
          <w:lang w:val="en-US" w:eastAsia="zh-CN"/>
        </w:rPr>
        <w:t>还须</w:t>
      </w:r>
      <w:r>
        <w:rPr>
          <w:rFonts w:hint="eastAsia" w:asciiTheme="minorEastAsia" w:hAnsiTheme="minorEastAsia" w:eastAsiaTheme="minorEastAsia" w:cstheme="minorEastAsia"/>
          <w:b/>
          <w:bCs/>
          <w:color w:val="auto"/>
          <w:spacing w:val="0"/>
          <w:sz w:val="24"/>
          <w:szCs w:val="24"/>
          <w:highlight w:val="none"/>
          <w:lang w:val="en-US" w:eastAsia="zh-CN"/>
        </w:rPr>
        <w:t>在</w:t>
      </w:r>
      <w:r>
        <w:rPr>
          <w:rFonts w:hint="eastAsia" w:asciiTheme="minorEastAsia" w:hAnsiTheme="minorEastAsia" w:cstheme="minorEastAsia"/>
          <w:b/>
          <w:bCs/>
          <w:color w:val="auto"/>
          <w:spacing w:val="0"/>
          <w:sz w:val="24"/>
          <w:szCs w:val="24"/>
          <w:highlight w:val="none"/>
          <w:lang w:val="en-US" w:eastAsia="zh-CN"/>
        </w:rPr>
        <w:t>报价部分《投标（响应）报价明细表》中</w:t>
      </w:r>
      <w:r>
        <w:rPr>
          <w:rFonts w:hint="eastAsia" w:asciiTheme="minorEastAsia" w:hAnsiTheme="minorEastAsia" w:eastAsiaTheme="minorEastAsia" w:cstheme="minorEastAsia"/>
          <w:b/>
          <w:bCs/>
          <w:color w:val="auto"/>
          <w:spacing w:val="0"/>
          <w:sz w:val="24"/>
          <w:szCs w:val="24"/>
          <w:highlight w:val="none"/>
          <w:lang w:val="en-US" w:eastAsia="zh-CN"/>
        </w:rPr>
        <w:t>填报结算比例（</w:t>
      </w:r>
      <w:r>
        <w:rPr>
          <w:rFonts w:hint="eastAsia" w:asciiTheme="minorEastAsia" w:hAnsiTheme="minorEastAsia" w:cstheme="minorEastAsia"/>
          <w:b/>
          <w:bCs/>
          <w:color w:val="auto"/>
          <w:spacing w:val="0"/>
          <w:sz w:val="24"/>
          <w:szCs w:val="24"/>
          <w:highlight w:val="none"/>
          <w:lang w:val="en-US" w:eastAsia="zh-CN"/>
        </w:rPr>
        <w:t>例</w:t>
      </w:r>
      <w:r>
        <w:rPr>
          <w:rFonts w:hint="eastAsia" w:asciiTheme="minorEastAsia" w:hAnsiTheme="minorEastAsia" w:eastAsiaTheme="minorEastAsia" w:cstheme="minorEastAsia"/>
          <w:b/>
          <w:bCs/>
          <w:color w:val="auto"/>
          <w:spacing w:val="0"/>
          <w:sz w:val="24"/>
          <w:szCs w:val="24"/>
          <w:highlight w:val="none"/>
          <w:lang w:val="en-US" w:eastAsia="zh-CN"/>
        </w:rPr>
        <w:t>如</w:t>
      </w:r>
      <w:r>
        <w:rPr>
          <w:rFonts w:hint="eastAsia" w:asciiTheme="minorEastAsia" w:hAnsiTheme="minorEastAsia" w:cstheme="minorEastAsia"/>
          <w:b/>
          <w:bCs/>
          <w:color w:val="auto"/>
          <w:spacing w:val="0"/>
          <w:sz w:val="24"/>
          <w:szCs w:val="24"/>
          <w:highlight w:val="none"/>
          <w:lang w:val="en-US" w:eastAsia="zh-CN"/>
        </w:rPr>
        <w:t>33%</w:t>
      </w:r>
      <w:r>
        <w:rPr>
          <w:rFonts w:hint="eastAsia" w:asciiTheme="minorEastAsia" w:hAnsiTheme="minorEastAsia" w:eastAsiaTheme="minorEastAsia" w:cstheme="minorEastAsia"/>
          <w:b/>
          <w:bCs/>
          <w:color w:val="auto"/>
          <w:spacing w:val="0"/>
          <w:sz w:val="24"/>
          <w:szCs w:val="24"/>
          <w:highlight w:val="none"/>
          <w:lang w:val="en-US" w:eastAsia="zh-CN"/>
        </w:rPr>
        <w:t>,填报</w:t>
      </w:r>
      <w:r>
        <w:rPr>
          <w:rFonts w:hint="eastAsia" w:asciiTheme="minorEastAsia" w:hAnsiTheme="minorEastAsia" w:cstheme="minorEastAsia"/>
          <w:b/>
          <w:bCs/>
          <w:color w:val="auto"/>
          <w:spacing w:val="0"/>
          <w:sz w:val="24"/>
          <w:szCs w:val="24"/>
          <w:highlight w:val="none"/>
          <w:lang w:val="en-US" w:eastAsia="zh-CN"/>
        </w:rPr>
        <w:t>33</w:t>
      </w:r>
      <w:r>
        <w:rPr>
          <w:rFonts w:hint="eastAsia" w:asciiTheme="minorEastAsia" w:hAnsiTheme="minorEastAsia" w:eastAsiaTheme="minorEastAsia" w:cstheme="minorEastAsia"/>
          <w:b/>
          <w:bCs/>
          <w:color w:val="auto"/>
          <w:spacing w:val="0"/>
          <w:sz w:val="24"/>
          <w:szCs w:val="24"/>
          <w:highlight w:val="none"/>
          <w:lang w:val="en-US" w:eastAsia="zh-CN"/>
        </w:rPr>
        <w:t>.00%</w:t>
      </w:r>
      <w:r>
        <w:rPr>
          <w:rFonts w:hint="eastAsia" w:asciiTheme="minorEastAsia" w:hAnsiTheme="minorEastAsia" w:cstheme="minorEastAsia"/>
          <w:b/>
          <w:bCs/>
          <w:color w:val="auto"/>
          <w:spacing w:val="0"/>
          <w:sz w:val="24"/>
          <w:szCs w:val="24"/>
          <w:highlight w:val="none"/>
          <w:lang w:val="en-US" w:eastAsia="zh-CN"/>
        </w:rPr>
        <w:t>，结算比例投报越低，视为报价越低</w:t>
      </w:r>
      <w:r>
        <w:rPr>
          <w:rFonts w:hint="eastAsia" w:asciiTheme="minorEastAsia" w:hAnsiTheme="minorEastAsia" w:eastAsiaTheme="minorEastAsia" w:cstheme="minorEastAsia"/>
          <w:b/>
          <w:bCs/>
          <w:color w:val="auto"/>
          <w:spacing w:val="0"/>
          <w:sz w:val="24"/>
          <w:szCs w:val="24"/>
          <w:highlight w:val="none"/>
          <w:lang w:val="en-US" w:eastAsia="zh-CN"/>
        </w:rPr>
        <w:t>），结算比例报价精确小数点后两位，未填写结算比例的视为</w:t>
      </w:r>
      <w:r>
        <w:rPr>
          <w:rFonts w:hint="eastAsia" w:asciiTheme="minorEastAsia" w:hAnsiTheme="minorEastAsia" w:cstheme="minorEastAsia"/>
          <w:b/>
          <w:bCs/>
          <w:color w:val="auto"/>
          <w:spacing w:val="0"/>
          <w:sz w:val="24"/>
          <w:szCs w:val="24"/>
          <w:highlight w:val="none"/>
          <w:lang w:val="en-US" w:eastAsia="zh-CN"/>
        </w:rPr>
        <w:t>结算比例报价34%</w:t>
      </w:r>
      <w:r>
        <w:rPr>
          <w:rFonts w:hint="eastAsia" w:asciiTheme="minorEastAsia" w:hAnsiTheme="minorEastAsia" w:eastAsiaTheme="minorEastAsia" w:cstheme="minorEastAsia"/>
          <w:b/>
          <w:bCs/>
          <w:color w:val="auto"/>
          <w:spacing w:val="0"/>
          <w:sz w:val="24"/>
          <w:szCs w:val="24"/>
          <w:highlight w:val="none"/>
          <w:lang w:val="en-US" w:eastAsia="zh-CN"/>
        </w:rPr>
        <w:t>。结算比例</w:t>
      </w:r>
      <w:r>
        <w:rPr>
          <w:rFonts w:hint="eastAsia" w:asciiTheme="minorEastAsia" w:hAnsiTheme="minorEastAsia" w:cstheme="minorEastAsia"/>
          <w:b/>
          <w:bCs/>
          <w:color w:val="auto"/>
          <w:spacing w:val="0"/>
          <w:sz w:val="24"/>
          <w:szCs w:val="24"/>
          <w:highlight w:val="none"/>
          <w:lang w:val="en-US" w:eastAsia="zh-CN"/>
        </w:rPr>
        <w:t xml:space="preserve">填报大于34%按无效投标处理。  </w:t>
      </w:r>
    </w:p>
    <w:p w14:paraId="5F80F5F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2" w:firstLineChars="200"/>
        <w:jc w:val="left"/>
        <w:textAlignment w:val="auto"/>
        <w:rPr>
          <w:rFonts w:hint="eastAsia" w:asciiTheme="minorEastAsia" w:hAnsiTheme="minorEastAsia" w:eastAsiaTheme="minorEastAsia" w:cstheme="minorEastAsia"/>
          <w:b/>
          <w:bCs/>
          <w:color w:val="auto"/>
          <w:spacing w:val="0"/>
          <w:sz w:val="24"/>
          <w:szCs w:val="24"/>
          <w:highlight w:val="none"/>
          <w:lang w:val="en-US" w:eastAsia="zh-CN"/>
        </w:rPr>
      </w:pPr>
      <w:r>
        <w:rPr>
          <w:rFonts w:hint="eastAsia" w:asciiTheme="minorEastAsia" w:hAnsiTheme="minorEastAsia" w:cstheme="minorEastAsia"/>
          <w:b/>
          <w:bCs/>
          <w:color w:val="auto"/>
          <w:spacing w:val="0"/>
          <w:sz w:val="24"/>
          <w:szCs w:val="24"/>
          <w:highlight w:val="none"/>
          <w:lang w:val="en-US" w:eastAsia="zh-CN"/>
        </w:rPr>
        <w:t>2.3各投标人填报</w:t>
      </w:r>
      <w:r>
        <w:rPr>
          <w:rFonts w:hint="eastAsia" w:asciiTheme="minorEastAsia" w:hAnsiTheme="minorEastAsia" w:eastAsiaTheme="minorEastAsia" w:cstheme="minorEastAsia"/>
          <w:b/>
          <w:bCs/>
          <w:color w:val="auto"/>
          <w:spacing w:val="0"/>
          <w:sz w:val="24"/>
          <w:szCs w:val="24"/>
          <w:highlight w:val="none"/>
          <w:lang w:val="en-US" w:eastAsia="zh-CN"/>
        </w:rPr>
        <w:t>结算比例</w:t>
      </w:r>
      <w:r>
        <w:rPr>
          <w:rFonts w:hint="eastAsia" w:asciiTheme="minorEastAsia" w:hAnsiTheme="minorEastAsia" w:cstheme="minorEastAsia"/>
          <w:b/>
          <w:bCs/>
          <w:color w:val="auto"/>
          <w:spacing w:val="0"/>
          <w:sz w:val="24"/>
          <w:szCs w:val="24"/>
          <w:highlight w:val="none"/>
          <w:lang w:val="en-US" w:eastAsia="zh-CN"/>
        </w:rPr>
        <w:t>将作为本项目价格项</w:t>
      </w:r>
      <w:r>
        <w:rPr>
          <w:rFonts w:hint="eastAsia" w:ascii="宋体" w:hAnsi="宋体" w:eastAsia="宋体" w:cs="宋体"/>
          <w:color w:val="auto"/>
          <w:sz w:val="24"/>
          <w:szCs w:val="24"/>
          <w:highlight w:val="none"/>
        </w:rPr>
        <w:t>评审基准价</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val="en-US" w:eastAsia="zh-CN"/>
        </w:rPr>
        <w:t>计算依据，</w:t>
      </w:r>
      <w:r>
        <w:rPr>
          <w:rFonts w:hint="eastAsia" w:asciiTheme="minorEastAsia" w:hAnsiTheme="minorEastAsia" w:eastAsiaTheme="minorEastAsia" w:cstheme="minorEastAsia"/>
          <w:b/>
          <w:bCs/>
          <w:color w:val="auto"/>
          <w:spacing w:val="0"/>
          <w:sz w:val="24"/>
          <w:szCs w:val="24"/>
          <w:highlight w:val="none"/>
          <w:lang w:val="en-US" w:eastAsia="zh-CN"/>
        </w:rPr>
        <w:t>投报的结算比例按以下公式计算报价得分</w:t>
      </w:r>
      <w:r>
        <w:rPr>
          <w:rFonts w:hint="eastAsia" w:asciiTheme="minorEastAsia" w:hAnsiTheme="minorEastAsia" w:cstheme="minorEastAsia"/>
          <w:b/>
          <w:bCs/>
          <w:color w:val="auto"/>
          <w:spacing w:val="0"/>
          <w:sz w:val="24"/>
          <w:szCs w:val="24"/>
          <w:highlight w:val="none"/>
          <w:lang w:val="en-US" w:eastAsia="zh-CN"/>
        </w:rPr>
        <w:t>：</w:t>
      </w:r>
    </w:p>
    <w:p w14:paraId="1D52023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2" w:firstLineChars="200"/>
        <w:jc w:val="left"/>
        <w:textAlignment w:val="auto"/>
        <w:rPr>
          <w:rFonts w:hint="eastAsia" w:asciiTheme="minorEastAsia" w:hAnsiTheme="minorEastAsia" w:eastAsiaTheme="minorEastAsia" w:cstheme="minorEastAsia"/>
          <w:b/>
          <w:bCs/>
          <w:color w:val="auto"/>
          <w:spacing w:val="0"/>
          <w:sz w:val="24"/>
          <w:szCs w:val="24"/>
          <w:highlight w:val="none"/>
          <w:lang w:val="en-US" w:eastAsia="zh-CN"/>
        </w:rPr>
      </w:pPr>
      <w:r>
        <w:rPr>
          <w:rFonts w:hint="eastAsia" w:asciiTheme="minorEastAsia" w:hAnsiTheme="minorEastAsia" w:eastAsiaTheme="minorEastAsia" w:cstheme="minorEastAsia"/>
          <w:b/>
          <w:bCs/>
          <w:color w:val="auto"/>
          <w:spacing w:val="0"/>
          <w:sz w:val="24"/>
          <w:szCs w:val="24"/>
          <w:highlight w:val="none"/>
          <w:lang w:val="en-US" w:eastAsia="zh-CN"/>
        </w:rPr>
        <w:t>价格分计算公式：价格分=1</w:t>
      </w:r>
      <w:r>
        <w:rPr>
          <w:rFonts w:hint="eastAsia" w:asciiTheme="minorEastAsia" w:hAnsiTheme="minorEastAsia" w:cstheme="minorEastAsia"/>
          <w:b/>
          <w:bCs/>
          <w:color w:val="auto"/>
          <w:spacing w:val="0"/>
          <w:sz w:val="24"/>
          <w:szCs w:val="24"/>
          <w:highlight w:val="none"/>
          <w:lang w:val="en-US" w:eastAsia="zh-CN"/>
        </w:rPr>
        <w:t>2</w:t>
      </w:r>
      <w:r>
        <w:rPr>
          <w:rFonts w:hint="eastAsia" w:asciiTheme="minorEastAsia" w:hAnsiTheme="minorEastAsia" w:eastAsiaTheme="minorEastAsia" w:cstheme="minorEastAsia"/>
          <w:b/>
          <w:bCs/>
          <w:color w:val="auto"/>
          <w:spacing w:val="0"/>
          <w:sz w:val="24"/>
          <w:szCs w:val="24"/>
          <w:highlight w:val="none"/>
          <w:lang w:val="en-US" w:eastAsia="zh-CN"/>
        </w:rPr>
        <w:t>×（Fmin÷F）。其中：Fmin为所有投标人的有效最低结算比例；F为投标人的结算比例；计算分数时四舍五入取百分数小数点后两位。</w:t>
      </w:r>
    </w:p>
    <w:p w14:paraId="51E7F399">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cstheme="minorEastAsia"/>
          <w:color w:val="auto"/>
          <w:spacing w:val="0"/>
          <w:sz w:val="24"/>
          <w:szCs w:val="24"/>
          <w:highlight w:val="none"/>
          <w:lang w:val="en-US" w:eastAsia="zh-CN"/>
        </w:rPr>
        <w:t>3.</w:t>
      </w:r>
      <w:r>
        <w:rPr>
          <w:rFonts w:hint="eastAsia" w:asciiTheme="minorEastAsia" w:hAnsiTheme="minorEastAsia" w:eastAsiaTheme="minorEastAsia" w:cstheme="minorEastAsia"/>
          <w:color w:val="auto"/>
          <w:spacing w:val="0"/>
          <w:sz w:val="24"/>
          <w:szCs w:val="24"/>
          <w:highlight w:val="none"/>
          <w:lang w:val="en-US" w:eastAsia="zh-CN"/>
        </w:rPr>
        <w:t>投标人</w:t>
      </w:r>
      <w:r>
        <w:rPr>
          <w:rFonts w:hint="eastAsia" w:asciiTheme="minorEastAsia" w:hAnsiTheme="minorEastAsia" w:eastAsiaTheme="minorEastAsia" w:cstheme="minorEastAsia"/>
          <w:color w:val="auto"/>
          <w:sz w:val="24"/>
          <w:szCs w:val="24"/>
          <w:highlight w:val="none"/>
          <w:lang w:eastAsia="zh-CN"/>
        </w:rPr>
        <w:t>结算金额</w:t>
      </w:r>
      <w:r>
        <w:rPr>
          <w:rFonts w:hint="eastAsia" w:asciiTheme="minorEastAsia" w:hAnsiTheme="minorEastAsia" w:eastAsia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pacing w:val="0"/>
          <w:sz w:val="24"/>
          <w:szCs w:val="24"/>
          <w:highlight w:val="none"/>
          <w:lang w:val="en-US" w:eastAsia="zh-CN"/>
        </w:rPr>
        <w:t>医院LIS和</w:t>
      </w:r>
      <w:r>
        <w:rPr>
          <w:rFonts w:hint="eastAsia" w:asciiTheme="minorEastAsia" w:hAnsiTheme="minorEastAsia" w:eastAsiaTheme="minorEastAsia" w:cstheme="minorEastAsia"/>
          <w:color w:val="auto"/>
          <w:kern w:val="0"/>
          <w:sz w:val="24"/>
          <w:szCs w:val="24"/>
          <w:highlight w:val="none"/>
          <w:lang w:val="en-US" w:eastAsia="zh-CN" w:bidi="ar"/>
        </w:rPr>
        <w:t>HIS</w:t>
      </w:r>
      <w:r>
        <w:rPr>
          <w:rFonts w:hint="eastAsia" w:asciiTheme="minorEastAsia" w:hAnsiTheme="minorEastAsia" w:eastAsiaTheme="minorEastAsia" w:cstheme="minorEastAsia"/>
          <w:color w:val="auto"/>
          <w:spacing w:val="0"/>
          <w:sz w:val="24"/>
          <w:szCs w:val="24"/>
          <w:highlight w:val="none"/>
          <w:lang w:val="en-US" w:eastAsia="zh-CN"/>
        </w:rPr>
        <w:t>系统相结合提取的检验收入总额*</w:t>
      </w:r>
      <w:r>
        <w:rPr>
          <w:rFonts w:hint="eastAsia" w:asciiTheme="minorEastAsia" w:hAnsiTheme="minorEastAsia" w:cstheme="minorEastAsia"/>
          <w:color w:val="auto"/>
          <w:spacing w:val="0"/>
          <w:sz w:val="24"/>
          <w:szCs w:val="24"/>
          <w:highlight w:val="none"/>
          <w:lang w:val="en-US" w:eastAsia="zh-CN"/>
        </w:rPr>
        <w:t>成交</w:t>
      </w:r>
      <w:r>
        <w:rPr>
          <w:rFonts w:hint="eastAsia" w:asciiTheme="minorEastAsia" w:hAnsiTheme="minorEastAsia" w:eastAsiaTheme="minorEastAsia" w:cstheme="minorEastAsia"/>
          <w:color w:val="auto"/>
          <w:sz w:val="24"/>
          <w:szCs w:val="24"/>
          <w:highlight w:val="none"/>
          <w:lang w:eastAsia="zh-CN"/>
        </w:rPr>
        <w:t>结算</w:t>
      </w:r>
      <w:r>
        <w:rPr>
          <w:rFonts w:hint="eastAsia" w:asciiTheme="minorEastAsia" w:hAnsiTheme="minorEastAsia" w:eastAsiaTheme="minorEastAsia" w:cstheme="minorEastAsia"/>
          <w:color w:val="auto"/>
          <w:sz w:val="24"/>
          <w:szCs w:val="24"/>
          <w:highlight w:val="none"/>
          <w:lang w:val="en-US" w:eastAsia="zh-CN"/>
        </w:rPr>
        <w:t>比例。如遇上级政府集中招投标采购，必须遵守政府部门相关规定，采购集中采购中标目录内产品，价格结算双方确定后再签订补充协议。</w:t>
      </w:r>
    </w:p>
    <w:p w14:paraId="3D73DD36">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cstheme="minorEastAsia"/>
          <w:color w:val="auto"/>
          <w:sz w:val="24"/>
          <w:szCs w:val="24"/>
          <w:highlight w:val="none"/>
          <w:shd w:val="clear" w:fill="FFFFFF"/>
          <w:lang w:val="en-US" w:eastAsia="zh-CN"/>
        </w:rPr>
        <w:t>4.</w:t>
      </w:r>
      <w:r>
        <w:rPr>
          <w:rFonts w:hint="eastAsia" w:asciiTheme="minorEastAsia" w:hAnsiTheme="minorEastAsia" w:eastAsiaTheme="minorEastAsia" w:cstheme="minorEastAsia"/>
          <w:color w:val="auto"/>
          <w:sz w:val="24"/>
          <w:szCs w:val="24"/>
          <w:highlight w:val="none"/>
          <w:shd w:val="clear" w:fill="FFFFFF"/>
          <w:lang w:eastAsia="zh-CN"/>
        </w:rPr>
        <w:t>投标人</w:t>
      </w:r>
      <w:r>
        <w:rPr>
          <w:rFonts w:hint="eastAsia" w:asciiTheme="minorEastAsia" w:hAnsiTheme="minorEastAsia" w:eastAsiaTheme="minorEastAsia" w:cstheme="minorEastAsia"/>
          <w:color w:val="auto"/>
          <w:sz w:val="24"/>
          <w:szCs w:val="24"/>
          <w:highlight w:val="none"/>
          <w:shd w:val="clear" w:fill="FFFFFF"/>
        </w:rPr>
        <w:t>应对整个合同包响应</w:t>
      </w:r>
      <w:r>
        <w:rPr>
          <w:rFonts w:hint="eastAsia" w:asciiTheme="minorEastAsia" w:hAnsiTheme="minorEastAsia" w:eastAsiaTheme="minorEastAsia" w:cstheme="minorEastAsia"/>
          <w:color w:val="auto"/>
          <w:sz w:val="24"/>
          <w:szCs w:val="24"/>
          <w:highlight w:val="none"/>
          <w:shd w:val="clear" w:fill="FFFFFF"/>
          <w:lang w:eastAsia="zh-CN"/>
        </w:rPr>
        <w:t>，投标人</w:t>
      </w:r>
      <w:r>
        <w:rPr>
          <w:rFonts w:hint="eastAsia" w:asciiTheme="minorEastAsia" w:hAnsiTheme="minorEastAsia" w:eastAsiaTheme="minorEastAsia" w:cstheme="minorEastAsia"/>
          <w:color w:val="auto"/>
          <w:sz w:val="24"/>
          <w:szCs w:val="24"/>
          <w:highlight w:val="none"/>
          <w:shd w:val="clear" w:fill="FFFFFF"/>
        </w:rPr>
        <w:t>的报价应包括服务所涉及的有关项目费用进行报价，包括：劳务、运输、管理、检验、维护、</w:t>
      </w:r>
      <w:r>
        <w:rPr>
          <w:rFonts w:hint="eastAsia" w:asciiTheme="minorEastAsia" w:hAnsiTheme="minorEastAsia" w:eastAsiaTheme="minorEastAsia" w:cstheme="minorEastAsia"/>
          <w:color w:val="auto"/>
          <w:sz w:val="24"/>
          <w:szCs w:val="24"/>
          <w:highlight w:val="none"/>
        </w:rPr>
        <w:t>培训、</w:t>
      </w:r>
      <w:r>
        <w:rPr>
          <w:rFonts w:hint="eastAsia" w:asciiTheme="minorEastAsia" w:hAnsiTheme="minorEastAsia" w:eastAsiaTheme="minorEastAsia" w:cstheme="minorEastAsia"/>
          <w:color w:val="auto"/>
          <w:sz w:val="24"/>
          <w:szCs w:val="24"/>
          <w:highlight w:val="none"/>
          <w:shd w:val="clear" w:fill="FFFFFF"/>
        </w:rPr>
        <w:t>保险</w:t>
      </w:r>
      <w:r>
        <w:rPr>
          <w:rFonts w:hint="eastAsia" w:asciiTheme="minorEastAsia" w:hAnsiTheme="minorEastAsia" w:eastAsiaTheme="minorEastAsia" w:cstheme="minorEastAsia"/>
          <w:color w:val="auto"/>
          <w:sz w:val="24"/>
          <w:szCs w:val="24"/>
          <w:highlight w:val="none"/>
          <w:shd w:val="clear" w:fill="FFFFFF"/>
          <w:lang w:eastAsia="zh-CN"/>
        </w:rPr>
        <w:t>、</w:t>
      </w:r>
      <w:r>
        <w:rPr>
          <w:rFonts w:hint="eastAsia" w:asciiTheme="minorEastAsia" w:hAnsiTheme="minorEastAsia" w:eastAsiaTheme="minorEastAsia" w:cstheme="minorEastAsia"/>
          <w:color w:val="auto"/>
          <w:sz w:val="24"/>
          <w:szCs w:val="24"/>
          <w:highlight w:val="none"/>
        </w:rPr>
        <w:t>代理服务费</w:t>
      </w:r>
      <w:r>
        <w:rPr>
          <w:rFonts w:hint="eastAsia" w:asciiTheme="minorEastAsia" w:hAnsiTheme="minorEastAsia" w:eastAsiaTheme="minorEastAsia" w:cstheme="minorEastAsia"/>
          <w:color w:val="auto"/>
          <w:sz w:val="24"/>
          <w:szCs w:val="24"/>
          <w:highlight w:val="none"/>
          <w:shd w:val="clear" w:fill="FFFFFF"/>
        </w:rPr>
        <w:t>等</w:t>
      </w:r>
      <w:r>
        <w:rPr>
          <w:rFonts w:hint="eastAsia" w:asciiTheme="minorEastAsia" w:hAnsiTheme="minorEastAsia" w:eastAsiaTheme="minorEastAsia" w:cstheme="minorEastAsia"/>
          <w:color w:val="auto"/>
          <w:sz w:val="24"/>
          <w:szCs w:val="24"/>
          <w:highlight w:val="none"/>
        </w:rPr>
        <w:t>完成合同所需的一切本身和不可或缺的所有工作开支、政策性文件规定及合同包含的所有风险、责任等各项全部费用，投标人根据自身情况，综合考虑。</w:t>
      </w:r>
    </w:p>
    <w:p w14:paraId="2A29BD68">
      <w:pPr>
        <w:pStyle w:val="11"/>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rPr>
      </w:pPr>
      <w:r>
        <w:rPr>
          <w:rFonts w:hint="eastAsia" w:asciiTheme="minorEastAsia" w:hAnsi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风险费用的计算及承担：风险的计算自行考虑，已包含在结算价内。</w:t>
      </w:r>
    </w:p>
    <w:p w14:paraId="6FF91015">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p>
    <w:p w14:paraId="69C0E9B2">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二、技术和服务要求（以“★”标示的内容为不允许负偏离的实质性要求）</w:t>
      </w:r>
    </w:p>
    <w:p w14:paraId="7226E18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eastAsiaTheme="minorEastAsia" w:cstheme="minorEastAsia"/>
          <w:color w:val="auto"/>
          <w:spacing w:val="0"/>
          <w:sz w:val="24"/>
          <w:szCs w:val="24"/>
          <w:highlight w:val="none"/>
        </w:rPr>
        <w:t>（一）</w:t>
      </w:r>
      <w:r>
        <w:rPr>
          <w:rStyle w:val="10"/>
          <w:rFonts w:hint="eastAsia" w:asciiTheme="minorEastAsia" w:hAnsiTheme="minorEastAsia" w:eastAsiaTheme="minorEastAsia" w:cstheme="minorEastAsia"/>
          <w:color w:val="auto"/>
          <w:spacing w:val="0"/>
          <w:sz w:val="24"/>
          <w:szCs w:val="24"/>
          <w:highlight w:val="none"/>
          <w:lang w:eastAsia="zh-CN"/>
        </w:rPr>
        <w:t>区域检验、病理中心</w:t>
      </w:r>
      <w:r>
        <w:rPr>
          <w:rStyle w:val="10"/>
          <w:rFonts w:hint="eastAsia" w:asciiTheme="minorEastAsia" w:hAnsiTheme="minorEastAsia" w:eastAsiaTheme="minorEastAsia" w:cstheme="minorEastAsia"/>
          <w:color w:val="auto"/>
          <w:spacing w:val="0"/>
          <w:sz w:val="24"/>
          <w:szCs w:val="24"/>
          <w:highlight w:val="none"/>
        </w:rPr>
        <w:t>场</w:t>
      </w:r>
      <w:r>
        <w:rPr>
          <w:rStyle w:val="10"/>
          <w:rFonts w:hint="eastAsia" w:asciiTheme="minorEastAsia" w:hAnsiTheme="minorEastAsia" w:eastAsiaTheme="minorEastAsia" w:cstheme="minorEastAsia"/>
          <w:color w:val="auto"/>
          <w:spacing w:val="0"/>
          <w:sz w:val="24"/>
          <w:szCs w:val="24"/>
          <w:highlight w:val="none"/>
          <w:lang w:eastAsia="zh-CN"/>
        </w:rPr>
        <w:t>地</w:t>
      </w:r>
      <w:r>
        <w:rPr>
          <w:rStyle w:val="10"/>
          <w:rFonts w:hint="eastAsia" w:asciiTheme="minorEastAsia" w:hAnsiTheme="minorEastAsia" w:eastAsiaTheme="minorEastAsia" w:cstheme="minorEastAsia"/>
          <w:color w:val="auto"/>
          <w:spacing w:val="0"/>
          <w:sz w:val="24"/>
          <w:szCs w:val="24"/>
          <w:highlight w:val="none"/>
          <w:lang w:val="en-US" w:eastAsia="zh-CN"/>
        </w:rPr>
        <w:t>装修</w:t>
      </w:r>
      <w:r>
        <w:rPr>
          <w:rStyle w:val="10"/>
          <w:rFonts w:hint="eastAsia" w:asciiTheme="minorEastAsia" w:hAnsiTheme="minorEastAsia" w:eastAsiaTheme="minorEastAsia" w:cstheme="minorEastAsia"/>
          <w:color w:val="auto"/>
          <w:spacing w:val="0"/>
          <w:sz w:val="24"/>
          <w:szCs w:val="24"/>
          <w:highlight w:val="none"/>
        </w:rPr>
        <w:t>改造要求</w:t>
      </w:r>
    </w:p>
    <w:p w14:paraId="17E16CA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lang w:eastAsia="zh-CN"/>
        </w:rPr>
        <w:t>投标人</w:t>
      </w:r>
      <w:r>
        <w:rPr>
          <w:rFonts w:hint="eastAsia" w:asciiTheme="minorEastAsia" w:hAnsiTheme="minorEastAsia" w:eastAsiaTheme="minorEastAsia" w:cstheme="minorEastAsia"/>
          <w:color w:val="auto"/>
          <w:sz w:val="24"/>
          <w:szCs w:val="24"/>
          <w:highlight w:val="none"/>
        </w:rPr>
        <w:t>负责</w:t>
      </w:r>
      <w:r>
        <w:rPr>
          <w:rFonts w:hint="eastAsia" w:asciiTheme="minorEastAsia" w:hAnsiTheme="minorEastAsia" w:eastAsiaTheme="minorEastAsia" w:cstheme="minorEastAsia"/>
          <w:color w:val="auto"/>
          <w:sz w:val="24"/>
          <w:szCs w:val="24"/>
          <w:highlight w:val="none"/>
          <w:lang w:val="en-US" w:eastAsia="zh-CN"/>
        </w:rPr>
        <w:t>在医院现有区域</w:t>
      </w:r>
      <w:r>
        <w:rPr>
          <w:rFonts w:hint="eastAsia" w:asciiTheme="minorEastAsia" w:hAnsiTheme="minorEastAsia" w:eastAsiaTheme="minorEastAsia" w:cstheme="minorEastAsia"/>
          <w:color w:val="auto"/>
          <w:sz w:val="24"/>
          <w:szCs w:val="24"/>
          <w:highlight w:val="none"/>
        </w:rPr>
        <w:t>检验</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病理</w:t>
      </w:r>
      <w:r>
        <w:rPr>
          <w:rFonts w:hint="eastAsia" w:asciiTheme="minorEastAsia" w:hAnsiTheme="minorEastAsia" w:eastAsiaTheme="minorEastAsia" w:cstheme="minorEastAsia"/>
          <w:color w:val="auto"/>
          <w:sz w:val="24"/>
          <w:szCs w:val="24"/>
          <w:highlight w:val="none"/>
        </w:rPr>
        <w:t>中心实验室</w:t>
      </w:r>
      <w:r>
        <w:rPr>
          <w:rFonts w:hint="eastAsia" w:asciiTheme="minorEastAsia" w:hAnsiTheme="minorEastAsia" w:eastAsiaTheme="minorEastAsia" w:cstheme="minorEastAsia"/>
          <w:color w:val="auto"/>
          <w:sz w:val="24"/>
          <w:szCs w:val="24"/>
          <w:highlight w:val="none"/>
          <w:lang w:val="en-US" w:eastAsia="zh-CN"/>
        </w:rPr>
        <w:t>场地基础上，</w:t>
      </w:r>
      <w:r>
        <w:rPr>
          <w:rFonts w:hint="eastAsia" w:asciiTheme="minorEastAsia" w:hAnsiTheme="minorEastAsia" w:eastAsiaTheme="minorEastAsia" w:cstheme="minorEastAsia"/>
          <w:color w:val="auto"/>
          <w:sz w:val="24"/>
          <w:szCs w:val="24"/>
          <w:highlight w:val="none"/>
        </w:rPr>
        <w:t>按照生物安全等标准进行</w:t>
      </w:r>
      <w:r>
        <w:rPr>
          <w:rFonts w:hint="eastAsia" w:asciiTheme="minorEastAsia" w:hAnsiTheme="minorEastAsia" w:eastAsiaTheme="minorEastAsia" w:cstheme="minorEastAsia"/>
          <w:color w:val="auto"/>
          <w:sz w:val="24"/>
          <w:szCs w:val="24"/>
          <w:highlight w:val="none"/>
          <w:lang w:val="en-US" w:eastAsia="zh-CN"/>
        </w:rPr>
        <w:t>流程优化</w:t>
      </w:r>
      <w:r>
        <w:rPr>
          <w:rFonts w:hint="eastAsia" w:asciiTheme="minorEastAsia" w:hAnsiTheme="minorEastAsia" w:eastAsiaTheme="minorEastAsia" w:cstheme="minorEastAsia"/>
          <w:color w:val="auto"/>
          <w:sz w:val="24"/>
          <w:szCs w:val="24"/>
          <w:highlight w:val="none"/>
        </w:rPr>
        <w:t>规划设计，</w:t>
      </w:r>
      <w:r>
        <w:rPr>
          <w:rFonts w:hint="eastAsia" w:asciiTheme="minorEastAsia" w:hAnsiTheme="minorEastAsia" w:eastAsiaTheme="minorEastAsia" w:cstheme="minorEastAsia"/>
          <w:color w:val="auto"/>
          <w:sz w:val="24"/>
          <w:szCs w:val="24"/>
          <w:highlight w:val="none"/>
          <w:lang w:val="en-US" w:eastAsia="zh-CN"/>
        </w:rPr>
        <w:t>使</w:t>
      </w:r>
      <w:r>
        <w:rPr>
          <w:rFonts w:hint="eastAsia" w:asciiTheme="minorEastAsia" w:hAnsiTheme="minorEastAsia" w:eastAsiaTheme="minorEastAsia" w:cstheme="minorEastAsia"/>
          <w:color w:val="auto"/>
          <w:sz w:val="24"/>
          <w:szCs w:val="24"/>
          <w:highlight w:val="none"/>
        </w:rPr>
        <w:t>检验中心流程合理</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达到质量认可标准。</w:t>
      </w:r>
    </w:p>
    <w:p w14:paraId="1EC7609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评标指标2</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2.投标人负责</w:t>
      </w:r>
      <w:r>
        <w:rPr>
          <w:rStyle w:val="10"/>
          <w:rFonts w:hint="eastAsia" w:asciiTheme="minorEastAsia" w:hAnsiTheme="minorEastAsia" w:eastAsiaTheme="minorEastAsia" w:cstheme="minorEastAsia"/>
          <w:b w:val="0"/>
          <w:bCs/>
          <w:color w:val="auto"/>
          <w:spacing w:val="0"/>
          <w:sz w:val="24"/>
          <w:szCs w:val="24"/>
          <w:highlight w:val="none"/>
          <w:lang w:eastAsia="zh-CN"/>
        </w:rPr>
        <w:t>区域检验、病理中心</w:t>
      </w:r>
      <w:r>
        <w:rPr>
          <w:rFonts w:hint="eastAsia" w:asciiTheme="minorEastAsia" w:hAnsiTheme="minorEastAsia" w:eastAsiaTheme="minorEastAsia" w:cstheme="minorEastAsia"/>
          <w:color w:val="auto"/>
          <w:sz w:val="24"/>
          <w:szCs w:val="24"/>
          <w:highlight w:val="none"/>
          <w:lang w:val="en-US" w:eastAsia="zh-CN"/>
        </w:rPr>
        <w:t>改造所需的装修工程费（包含</w:t>
      </w:r>
      <w:r>
        <w:rPr>
          <w:rStyle w:val="10"/>
          <w:rFonts w:hint="eastAsia" w:asciiTheme="minorEastAsia" w:hAnsiTheme="minorEastAsia" w:eastAsiaTheme="minorEastAsia" w:cstheme="minorEastAsia"/>
          <w:b w:val="0"/>
          <w:bCs/>
          <w:color w:val="auto"/>
          <w:spacing w:val="0"/>
          <w:sz w:val="24"/>
          <w:szCs w:val="24"/>
          <w:highlight w:val="none"/>
          <w:lang w:eastAsia="zh-CN"/>
        </w:rPr>
        <w:t>区域检验</w:t>
      </w:r>
      <w:r>
        <w:rPr>
          <w:rStyle w:val="10"/>
          <w:rFonts w:hint="eastAsia" w:asciiTheme="minorEastAsia" w:hAnsiTheme="minorEastAsia" w:eastAsiaTheme="minorEastAsia" w:cstheme="minorEastAsia"/>
          <w:b w:val="0"/>
          <w:bCs/>
          <w:color w:val="auto"/>
          <w:spacing w:val="0"/>
          <w:sz w:val="24"/>
          <w:szCs w:val="24"/>
          <w:highlight w:val="none"/>
          <w:lang w:val="en-US" w:eastAsia="zh-CN"/>
        </w:rPr>
        <w:t>中心</w:t>
      </w:r>
      <w:r>
        <w:rPr>
          <w:rFonts w:hint="eastAsia" w:asciiTheme="minorEastAsia" w:hAnsiTheme="minorEastAsia" w:eastAsiaTheme="minorEastAsia" w:cstheme="minorEastAsia"/>
          <w:color w:val="auto"/>
          <w:sz w:val="24"/>
          <w:szCs w:val="24"/>
          <w:highlight w:val="none"/>
          <w:lang w:val="en-US" w:eastAsia="zh-CN"/>
        </w:rPr>
        <w:t>中央空调1套）。</w:t>
      </w:r>
    </w:p>
    <w:p w14:paraId="7122198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rPr>
          <w:rStyle w:val="10"/>
          <w:rFonts w:hint="eastAsia" w:asciiTheme="minorEastAsia" w:hAnsiTheme="minorEastAsia" w:eastAsiaTheme="minorEastAsia" w:cstheme="minorEastAsia"/>
          <w:color w:val="auto"/>
          <w:spacing w:val="0"/>
          <w:sz w:val="24"/>
          <w:szCs w:val="24"/>
          <w:highlight w:val="none"/>
          <w:lang w:val="en-US" w:eastAsia="zh-CN"/>
        </w:rPr>
      </w:pP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val="en-US" w:eastAsia="zh-CN"/>
        </w:rPr>
        <w:t>二</w:t>
      </w: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eastAsia="zh-CN"/>
        </w:rPr>
        <w:t>区域检验、病理中心</w:t>
      </w:r>
      <w:r>
        <w:rPr>
          <w:rStyle w:val="10"/>
          <w:rFonts w:hint="eastAsia" w:asciiTheme="minorEastAsia" w:hAnsiTheme="minorEastAsia" w:eastAsiaTheme="minorEastAsia" w:cstheme="minorEastAsia"/>
          <w:color w:val="auto"/>
          <w:spacing w:val="0"/>
          <w:sz w:val="24"/>
          <w:szCs w:val="24"/>
          <w:highlight w:val="none"/>
          <w:lang w:val="en-US" w:eastAsia="zh-CN"/>
        </w:rPr>
        <w:t>精益化管理要求</w:t>
      </w:r>
    </w:p>
    <w:p w14:paraId="0809948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55"/>
        <w:rPr>
          <w:rFonts w:hint="eastAsia" w:asciiTheme="minorEastAsia" w:hAnsiTheme="minorEastAsia" w:eastAsiaTheme="minorEastAsia" w:cstheme="minorEastAsia"/>
          <w:color w:val="auto"/>
          <w:spacing w:val="0"/>
          <w:sz w:val="24"/>
          <w:szCs w:val="24"/>
          <w:highlight w:val="none"/>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评标指标3</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eastAsia="zh-CN"/>
        </w:rPr>
        <w:t>投标人</w:t>
      </w:r>
      <w:r>
        <w:rPr>
          <w:rFonts w:hint="eastAsia" w:asciiTheme="minorEastAsia" w:hAnsiTheme="minorEastAsia" w:eastAsiaTheme="minorEastAsia" w:cstheme="minorEastAsia"/>
          <w:color w:val="auto"/>
          <w:spacing w:val="0"/>
          <w:sz w:val="24"/>
          <w:szCs w:val="24"/>
          <w:highlight w:val="none"/>
        </w:rPr>
        <w:t>负责派精益管理专家团队对</w:t>
      </w:r>
      <w:r>
        <w:rPr>
          <w:rFonts w:hint="eastAsia" w:asciiTheme="minorEastAsia" w:hAnsiTheme="minorEastAsia" w:eastAsiaTheme="minorEastAsia" w:cstheme="minorEastAsia"/>
          <w:color w:val="auto"/>
          <w:spacing w:val="0"/>
          <w:sz w:val="24"/>
          <w:szCs w:val="24"/>
          <w:highlight w:val="none"/>
          <w:lang w:val="en-US" w:eastAsia="zh-CN"/>
        </w:rPr>
        <w:t>医院区域</w:t>
      </w:r>
      <w:r>
        <w:rPr>
          <w:rFonts w:hint="eastAsia" w:asciiTheme="minorEastAsia" w:hAnsiTheme="minorEastAsia" w:eastAsiaTheme="minorEastAsia" w:cstheme="minorEastAsia"/>
          <w:color w:val="auto"/>
          <w:spacing w:val="0"/>
          <w:sz w:val="24"/>
          <w:szCs w:val="24"/>
          <w:highlight w:val="none"/>
        </w:rPr>
        <w:t>医学检验中心进行现场的实施，内容包括：</w:t>
      </w:r>
    </w:p>
    <w:p w14:paraId="523E327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1.1 6</w:t>
      </w:r>
      <w:r>
        <w:rPr>
          <w:rFonts w:hint="eastAsia" w:asciiTheme="minorEastAsia" w:hAnsiTheme="minorEastAsia" w:eastAsiaTheme="minorEastAsia" w:cstheme="minorEastAsia"/>
          <w:color w:val="auto"/>
          <w:spacing w:val="0"/>
          <w:sz w:val="24"/>
          <w:szCs w:val="24"/>
          <w:highlight w:val="none"/>
        </w:rPr>
        <w:t>S现场管理：节省空间，提高效率，降低成本，提升工作环境；</w:t>
      </w:r>
    </w:p>
    <w:p w14:paraId="7D06D5C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1.2人员动作分析：标准化工作流程，提高工作效率降低人员短缺压力；</w:t>
      </w:r>
    </w:p>
    <w:p w14:paraId="0343D82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1.3工作流程分析：整合改善工作流程，去除浪费，缩短流程周期；</w:t>
      </w:r>
    </w:p>
    <w:p w14:paraId="026D12A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1.4视觉化管理：一目了然地管理，提高操作效率，提高规范性与医院形象；</w:t>
      </w:r>
    </w:p>
    <w:p w14:paraId="0E6F010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1.5防错管理：降低出错率，防范医疗事故。</w:t>
      </w:r>
    </w:p>
    <w:p w14:paraId="7B824DF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val="en-US" w:eastAsia="zh-CN"/>
        </w:rPr>
        <w:t>三</w:t>
      </w: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eastAsia="zh-CN"/>
        </w:rPr>
        <w:t>区域检验、病理中心</w:t>
      </w:r>
      <w:r>
        <w:rPr>
          <w:rStyle w:val="10"/>
          <w:rFonts w:hint="eastAsia" w:asciiTheme="minorEastAsia" w:hAnsiTheme="minorEastAsia" w:eastAsiaTheme="minorEastAsia" w:cstheme="minorEastAsia"/>
          <w:color w:val="auto"/>
          <w:spacing w:val="0"/>
          <w:sz w:val="24"/>
          <w:szCs w:val="24"/>
          <w:highlight w:val="none"/>
          <w:lang w:val="en-US" w:eastAsia="zh-CN"/>
        </w:rPr>
        <w:t>信息系统建设要求</w:t>
      </w:r>
    </w:p>
    <w:p w14:paraId="7898F1E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评标指标4</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1.投标人负责提供试剂信息化管理系统（SPD系统），要求实现采购人在检验中心的产品证照管理、试剂有效期管理、智能订单管理、库存管理（包括二级库管理）、全过程条码化管理、智能预警管理，投标人负责信息系统运行维护并承担相关费用。</w:t>
      </w:r>
    </w:p>
    <w:p w14:paraId="71E4526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评标指标5</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2.投标人负责提供区域冷链物流相关信息系统，包括样本管理云系统、智能温控云系统、标本/试剂GPS 系统定位云系统。</w:t>
      </w:r>
    </w:p>
    <w:p w14:paraId="17817AD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评标指标6</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3.投标人负责提供采购人在质量管理体系建设中所需的体系文件生成信息系统。</w:t>
      </w:r>
    </w:p>
    <w:p w14:paraId="2219759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55"/>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评标指标7</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4.合作期间，</w:t>
      </w:r>
      <w:r>
        <w:rPr>
          <w:rFonts w:hint="eastAsia" w:asciiTheme="minorEastAsia" w:hAnsiTheme="minorEastAsia" w:eastAsiaTheme="minorEastAsia" w:cstheme="minorEastAsia"/>
          <w:color w:val="auto"/>
          <w:sz w:val="24"/>
          <w:szCs w:val="24"/>
          <w:highlight w:val="none"/>
          <w:lang w:val="en-US" w:eastAsia="zh-CN"/>
        </w:rPr>
        <w:t>SPD系统</w:t>
      </w:r>
      <w:r>
        <w:rPr>
          <w:rFonts w:hint="eastAsia" w:asciiTheme="minorEastAsia" w:hAnsiTheme="minorEastAsia" w:eastAsiaTheme="minorEastAsia" w:cstheme="minorEastAsia"/>
          <w:color w:val="auto"/>
          <w:spacing w:val="0"/>
          <w:sz w:val="24"/>
          <w:szCs w:val="24"/>
          <w:highlight w:val="none"/>
        </w:rPr>
        <w:t>与医院</w:t>
      </w:r>
      <w:r>
        <w:rPr>
          <w:rFonts w:hint="eastAsia" w:asciiTheme="minorEastAsia" w:hAnsiTheme="minorEastAsia" w:eastAsiaTheme="minorEastAsia" w:cstheme="minorEastAsia"/>
          <w:color w:val="auto"/>
          <w:spacing w:val="0"/>
          <w:sz w:val="24"/>
          <w:szCs w:val="24"/>
          <w:highlight w:val="none"/>
          <w:lang w:eastAsia="zh-CN"/>
        </w:rPr>
        <w:t>现有</w:t>
      </w:r>
      <w:r>
        <w:rPr>
          <w:rFonts w:hint="eastAsia" w:asciiTheme="minorEastAsia" w:hAnsiTheme="minorEastAsia" w:eastAsiaTheme="minorEastAsia" w:cstheme="minorEastAsia"/>
          <w:color w:val="auto"/>
          <w:spacing w:val="0"/>
          <w:sz w:val="24"/>
          <w:szCs w:val="24"/>
          <w:highlight w:val="none"/>
        </w:rPr>
        <w:t>系统</w:t>
      </w:r>
      <w:r>
        <w:rPr>
          <w:rFonts w:hint="eastAsia" w:asciiTheme="minorEastAsia" w:hAnsiTheme="minorEastAsia" w:eastAsiaTheme="minorEastAsia" w:cstheme="minorEastAsia"/>
          <w:color w:val="auto"/>
          <w:spacing w:val="0"/>
          <w:sz w:val="24"/>
          <w:szCs w:val="24"/>
          <w:highlight w:val="none"/>
          <w:lang w:eastAsia="zh-CN"/>
        </w:rPr>
        <w:t>及未来建设新系统对接均不得收取</w:t>
      </w:r>
      <w:r>
        <w:rPr>
          <w:rFonts w:hint="eastAsia" w:asciiTheme="minorEastAsia" w:hAnsiTheme="minorEastAsia" w:eastAsiaTheme="minorEastAsia" w:cstheme="minorEastAsia"/>
          <w:color w:val="auto"/>
          <w:spacing w:val="0"/>
          <w:sz w:val="24"/>
          <w:szCs w:val="24"/>
          <w:highlight w:val="none"/>
        </w:rPr>
        <w:t>接口费用、支持系统运行的硬件（含主、备硬件）费用全部由中标人承担。合作期间医院拥有系统软、硬件的使用权，中标人</w:t>
      </w:r>
      <w:r>
        <w:rPr>
          <w:rFonts w:hint="eastAsia" w:asciiTheme="minorEastAsia" w:hAnsiTheme="minorEastAsia" w:eastAsiaTheme="minorEastAsia" w:cstheme="minorEastAsia"/>
          <w:color w:val="auto"/>
          <w:spacing w:val="0"/>
          <w:sz w:val="24"/>
          <w:szCs w:val="24"/>
          <w:highlight w:val="none"/>
          <w:lang w:eastAsia="zh-CN"/>
        </w:rPr>
        <w:t>应</w:t>
      </w:r>
      <w:r>
        <w:rPr>
          <w:rFonts w:hint="eastAsia" w:asciiTheme="minorEastAsia" w:hAnsiTheme="minorEastAsia" w:eastAsiaTheme="minorEastAsia" w:cstheme="minorEastAsia"/>
          <w:color w:val="auto"/>
          <w:spacing w:val="0"/>
          <w:sz w:val="24"/>
          <w:szCs w:val="24"/>
          <w:highlight w:val="none"/>
        </w:rPr>
        <w:t>提供维保服务。合作期结束后，医院拥有系统软、硬件的所有权。</w:t>
      </w:r>
    </w:p>
    <w:p w14:paraId="518E99C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评标指标8</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5</w:t>
      </w:r>
      <w:r>
        <w:rPr>
          <w:rFonts w:hint="eastAsia" w:asciiTheme="minorEastAsia" w:hAnsiTheme="minorEastAsia" w:eastAsiaTheme="minorEastAsia" w:cstheme="minorEastAsia"/>
          <w:color w:val="auto"/>
          <w:spacing w:val="0"/>
          <w:sz w:val="24"/>
          <w:szCs w:val="24"/>
          <w:highlight w:val="none"/>
        </w:rPr>
        <w:t>.信息系统内的所有数据及数据产生的知识和信息归医院所有，中标人应承担保密义务。</w:t>
      </w:r>
    </w:p>
    <w:p w14:paraId="135F7DE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55"/>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评标指标9</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6</w:t>
      </w: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SPD系统</w:t>
      </w:r>
      <w:r>
        <w:rPr>
          <w:rFonts w:hint="eastAsia" w:asciiTheme="minorEastAsia" w:hAnsiTheme="minorEastAsia" w:eastAsiaTheme="minorEastAsia" w:cstheme="minorEastAsia"/>
          <w:color w:val="auto"/>
          <w:spacing w:val="0"/>
          <w:sz w:val="24"/>
          <w:szCs w:val="24"/>
          <w:highlight w:val="none"/>
        </w:rPr>
        <w:t>需符合包括但不限于《信息安全等级保护管理办法》《中华人民共和国数据安全法》《中华人民共和国网络安全法》《患者隐私保护制度》的相关规定，若发现系统存在漏洞等相关安全问题应积极配合排查并立即整改，且不得以任何理由拒绝和收取任何费用。</w:t>
      </w:r>
    </w:p>
    <w:p w14:paraId="7F3633D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textAlignment w:val="auto"/>
        <w:rPr>
          <w:rFonts w:hint="eastAsia" w:asciiTheme="minorEastAsia" w:hAnsiTheme="minorEastAsia" w:eastAsiaTheme="minorEastAsia" w:cstheme="minorEastAsia"/>
          <w:color w:val="auto"/>
          <w:spacing w:val="0"/>
          <w:sz w:val="24"/>
          <w:szCs w:val="24"/>
          <w:highlight w:val="none"/>
          <w:lang w:val="en-US" w:eastAsia="zh-CN"/>
        </w:rPr>
      </w:pP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val="en-US" w:eastAsia="zh-CN"/>
        </w:rPr>
        <w:t>四</w:t>
      </w: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eastAsia="zh-CN"/>
        </w:rPr>
        <w:t>区域检验、病理中心</w:t>
      </w:r>
      <w:r>
        <w:rPr>
          <w:rStyle w:val="10"/>
          <w:rFonts w:hint="eastAsia" w:asciiTheme="minorEastAsia" w:hAnsiTheme="minorEastAsia" w:eastAsiaTheme="minorEastAsia" w:cstheme="minorEastAsia"/>
          <w:color w:val="auto"/>
          <w:spacing w:val="0"/>
          <w:sz w:val="24"/>
          <w:szCs w:val="24"/>
          <w:highlight w:val="none"/>
          <w:lang w:val="en-US" w:eastAsia="zh-CN"/>
        </w:rPr>
        <w:t>冷链配送要求</w:t>
      </w:r>
    </w:p>
    <w:p w14:paraId="7C2093F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1.试剂冷链配送要求：</w:t>
      </w:r>
    </w:p>
    <w:p w14:paraId="3E535E5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1.1配送时效性：接到采购人采购计划后，保证试剂、耗材15天内送达。如遇特别紧急需求采购人及时通知中标人，中标人应及时送达指定地点。</w:t>
      </w:r>
    </w:p>
    <w:p w14:paraId="1EC04D8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1.2在保证配送服务基础上，严格保证配送的检验试剂、耗材质量，送货时附产品检验合格报告单。发生不良事件，有义务参与协调解决，并承担相应的责任。</w:t>
      </w:r>
    </w:p>
    <w:p w14:paraId="65DAEF7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1.3投标人所配送产品为生物制剂类的，应具有符合国家对冷链运输要求的冷藏运输车或专业冷藏设备，并有运输过程中实时温度监测记录以保证检验试剂耗材的质量。</w:t>
      </w:r>
    </w:p>
    <w:p w14:paraId="3D5C483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1.4</w:t>
      </w:r>
      <w:r>
        <w:rPr>
          <w:rFonts w:hint="eastAsia" w:asciiTheme="minorEastAsia" w:hAnsiTheme="minorEastAsia" w:eastAsiaTheme="minorEastAsia" w:cstheme="minorEastAsia"/>
          <w:color w:val="auto"/>
          <w:spacing w:val="0"/>
          <w:sz w:val="24"/>
          <w:szCs w:val="24"/>
          <w:highlight w:val="none"/>
          <w:lang w:eastAsia="zh-CN"/>
        </w:rPr>
        <w:t>投标人需提供满足区域内标本/试剂配送需求的物流路线及车辆配置方案，车辆要求符合医学检验试剂耗材、血液等冷链运输规定，投标人承担运输过程中使用到的物品（GPS监控设备、冷链转运箱、应急箱）、人员费用。</w:t>
      </w:r>
    </w:p>
    <w:p w14:paraId="5F1FEFC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1.5</w:t>
      </w:r>
      <w:r>
        <w:rPr>
          <w:rFonts w:hint="eastAsia" w:asciiTheme="minorEastAsia" w:hAnsiTheme="minorEastAsia" w:eastAsiaTheme="minorEastAsia" w:cstheme="minorEastAsia"/>
          <w:color w:val="auto"/>
          <w:spacing w:val="0"/>
          <w:sz w:val="24"/>
          <w:szCs w:val="24"/>
          <w:highlight w:val="none"/>
        </w:rPr>
        <w:t>若因中标人原因造成配送工作达不到标准的，中标人应无条件及时予以整改，由此造成的损失由中标人负责。</w:t>
      </w:r>
    </w:p>
    <w:p w14:paraId="7A63FB6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2.区域内下属医疗机构标本冷链运输要求</w:t>
      </w:r>
    </w:p>
    <w:p w14:paraId="22FAAC3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2.1</w:t>
      </w:r>
      <w:r>
        <w:rPr>
          <w:rFonts w:hint="eastAsia" w:asciiTheme="minorEastAsia" w:hAnsiTheme="minorEastAsia" w:eastAsiaTheme="minorEastAsia" w:cstheme="minorEastAsia"/>
          <w:color w:val="auto"/>
          <w:spacing w:val="0"/>
          <w:sz w:val="24"/>
          <w:szCs w:val="24"/>
          <w:highlight w:val="none"/>
          <w:lang w:eastAsia="zh-CN"/>
        </w:rPr>
        <w:t>投标人</w:t>
      </w:r>
      <w:r>
        <w:rPr>
          <w:rFonts w:hint="eastAsia" w:asciiTheme="minorEastAsia" w:hAnsiTheme="minorEastAsia" w:eastAsiaTheme="minorEastAsia" w:cstheme="minorEastAsia"/>
          <w:color w:val="auto"/>
          <w:spacing w:val="0"/>
          <w:sz w:val="24"/>
          <w:szCs w:val="24"/>
          <w:highlight w:val="none"/>
        </w:rPr>
        <w:t>需制定物流线路规划</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样本接收线路配置≥3条。</w:t>
      </w:r>
    </w:p>
    <w:p w14:paraId="68DD772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2.2投标人承担统一物流管理费用，包括配送车辆折旧、人员工资、福利、各种社会保险费、过路费、各种保险费、管理费、仓储费、培训费等。</w:t>
      </w:r>
    </w:p>
    <w:p w14:paraId="6D676E8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2.3</w:t>
      </w:r>
      <w:r>
        <w:rPr>
          <w:rFonts w:hint="eastAsia" w:asciiTheme="minorEastAsia" w:hAnsiTheme="minorEastAsia" w:eastAsiaTheme="minorEastAsia" w:cstheme="minorEastAsia"/>
          <w:color w:val="auto"/>
          <w:spacing w:val="0"/>
          <w:sz w:val="24"/>
          <w:szCs w:val="24"/>
          <w:highlight w:val="none"/>
        </w:rPr>
        <w:t>中标人完成合同所需的一切本身和不可或缺的所有工作开支、政策性文件规定及合同包含的所有风险、责任等各项全部费用。</w:t>
      </w:r>
    </w:p>
    <w:p w14:paraId="5EDE398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2.4</w:t>
      </w:r>
      <w:r>
        <w:rPr>
          <w:rFonts w:hint="eastAsia" w:asciiTheme="minorEastAsia" w:hAnsiTheme="minorEastAsia" w:eastAsiaTheme="minorEastAsia" w:cstheme="minorEastAsia"/>
          <w:color w:val="auto"/>
          <w:spacing w:val="0"/>
          <w:sz w:val="24"/>
          <w:szCs w:val="24"/>
          <w:highlight w:val="none"/>
        </w:rPr>
        <w:t>对不符合医学检验试剂耗材相关的冷链运输规定的试剂耗材，因试剂不合格造成的损失，由中标人承担。若上级试剂耗材采购政策调整需终止协议的，按新政策执行</w:t>
      </w:r>
      <w:r>
        <w:rPr>
          <w:rFonts w:hint="eastAsia" w:asciiTheme="minorEastAsia" w:hAnsiTheme="minorEastAsia" w:eastAsiaTheme="minorEastAsia" w:cstheme="minorEastAsia"/>
          <w:color w:val="auto"/>
          <w:spacing w:val="0"/>
          <w:sz w:val="24"/>
          <w:szCs w:val="24"/>
          <w:highlight w:val="none"/>
          <w:lang w:eastAsia="zh-CN"/>
        </w:rPr>
        <w:t>。</w:t>
      </w:r>
    </w:p>
    <w:p w14:paraId="3C7E0B6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val="en-US" w:eastAsia="zh-CN"/>
        </w:rPr>
        <w:t>五</w:t>
      </w: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eastAsia="zh-CN"/>
        </w:rPr>
        <w:t>区域检验、病理中心</w:t>
      </w:r>
      <w:r>
        <w:rPr>
          <w:rStyle w:val="10"/>
          <w:rFonts w:hint="eastAsia" w:asciiTheme="minorEastAsia" w:hAnsiTheme="minorEastAsia" w:eastAsiaTheme="minorEastAsia" w:cstheme="minorEastAsia"/>
          <w:color w:val="auto"/>
          <w:spacing w:val="0"/>
          <w:sz w:val="24"/>
          <w:szCs w:val="24"/>
          <w:highlight w:val="none"/>
        </w:rPr>
        <w:t>设备</w:t>
      </w:r>
      <w:r>
        <w:rPr>
          <w:rStyle w:val="10"/>
          <w:rFonts w:hint="eastAsia" w:asciiTheme="minorEastAsia" w:hAnsiTheme="minorEastAsia" w:eastAsiaTheme="minorEastAsia" w:cstheme="minorEastAsia"/>
          <w:color w:val="auto"/>
          <w:spacing w:val="0"/>
          <w:sz w:val="24"/>
          <w:szCs w:val="24"/>
          <w:highlight w:val="none"/>
          <w:lang w:eastAsia="zh-CN"/>
        </w:rPr>
        <w:t>配置</w:t>
      </w:r>
      <w:r>
        <w:rPr>
          <w:rStyle w:val="10"/>
          <w:rFonts w:hint="eastAsia" w:asciiTheme="minorEastAsia" w:hAnsiTheme="minorEastAsia" w:eastAsiaTheme="minorEastAsia" w:cstheme="minorEastAsia"/>
          <w:color w:val="auto"/>
          <w:spacing w:val="0"/>
          <w:sz w:val="24"/>
          <w:szCs w:val="24"/>
          <w:highlight w:val="none"/>
          <w:lang w:val="en-US" w:eastAsia="zh-CN"/>
        </w:rPr>
        <w:t>/</w:t>
      </w:r>
      <w:r>
        <w:rPr>
          <w:rStyle w:val="10"/>
          <w:rFonts w:hint="eastAsia" w:asciiTheme="minorEastAsia" w:hAnsiTheme="minorEastAsia" w:eastAsiaTheme="minorEastAsia" w:cstheme="minorEastAsia"/>
          <w:color w:val="auto"/>
          <w:spacing w:val="0"/>
          <w:sz w:val="24"/>
          <w:szCs w:val="24"/>
          <w:highlight w:val="none"/>
          <w:lang w:eastAsia="zh-CN"/>
        </w:rPr>
        <w:t>规划</w:t>
      </w:r>
      <w:r>
        <w:rPr>
          <w:rStyle w:val="10"/>
          <w:rFonts w:hint="eastAsia" w:asciiTheme="minorEastAsia" w:hAnsiTheme="minorEastAsia" w:eastAsiaTheme="minorEastAsia" w:cstheme="minorEastAsia"/>
          <w:color w:val="auto"/>
          <w:spacing w:val="0"/>
          <w:sz w:val="24"/>
          <w:szCs w:val="24"/>
          <w:highlight w:val="none"/>
          <w:lang w:val="en-US" w:eastAsia="zh-CN"/>
        </w:rPr>
        <w:t>/</w:t>
      </w:r>
      <w:r>
        <w:rPr>
          <w:rStyle w:val="10"/>
          <w:rFonts w:hint="eastAsia" w:asciiTheme="minorEastAsia" w:hAnsiTheme="minorEastAsia" w:eastAsiaTheme="minorEastAsia" w:cstheme="minorEastAsia"/>
          <w:color w:val="auto"/>
          <w:spacing w:val="0"/>
          <w:sz w:val="24"/>
          <w:szCs w:val="24"/>
          <w:highlight w:val="none"/>
          <w:lang w:eastAsia="zh-CN"/>
        </w:rPr>
        <w:t>升级及</w:t>
      </w:r>
      <w:r>
        <w:rPr>
          <w:rStyle w:val="10"/>
          <w:rFonts w:hint="eastAsia" w:asciiTheme="minorEastAsia" w:hAnsiTheme="minorEastAsia" w:eastAsiaTheme="minorEastAsia" w:cstheme="minorEastAsia"/>
          <w:color w:val="auto"/>
          <w:spacing w:val="0"/>
          <w:sz w:val="24"/>
          <w:szCs w:val="24"/>
          <w:highlight w:val="none"/>
        </w:rPr>
        <w:t>维保要求</w:t>
      </w:r>
    </w:p>
    <w:p w14:paraId="4020B3D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评标指标10</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1.投标人应根据医院工作需要和创建三级医院要求，提供符合医院发展所需的检验实验室设备及数量，满足医院未来五年的发展需求，全面覆盖医院现有检测项目，提高自动化程度和信息化水平，实现标准化流程；并保证设备的运行质量，包括但不限于：检测结果的准确性、重复性、精密性，以及符合质控管理控制的相关要求。</w:t>
      </w:r>
    </w:p>
    <w:p w14:paraId="02F9C4F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评标指标11</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2.在检验中心发展过程中，设备更新由采购人提出需求，经双方协商，投标人负责更新设备、承担设备购置费用，设备产权归采购人所有。</w:t>
      </w:r>
    </w:p>
    <w:p w14:paraId="53EC9766">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评标指标12</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3.投标人负责提供检验中心工作开展所需的辅助设备及质控品等不可收费耗材，费用由投标人承担。</w:t>
      </w:r>
    </w:p>
    <w:p w14:paraId="688E20A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评标指标13</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4.中标人承担项目内所有设备的日常维护、保养、维修（含所有配件及耗材）等工作及费用。</w:t>
      </w:r>
    </w:p>
    <w:p w14:paraId="4FAF201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评标指标14</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5.合同实施期间，中标人提供开展项目所需设备，采购人不做补偿，合同到期后，中标人提供的设备归采购人所有。</w:t>
      </w:r>
    </w:p>
    <w:p w14:paraId="6094C01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textAlignment w:val="auto"/>
        <w:rPr>
          <w:rFonts w:hint="eastAsia" w:asciiTheme="minorEastAsia" w:hAnsiTheme="minorEastAsia" w:cstheme="minorEastAsia"/>
          <w:color w:val="auto"/>
          <w:sz w:val="24"/>
          <w:szCs w:val="24"/>
          <w:highlight w:val="none"/>
          <w:lang w:val="en-US" w:eastAsia="zh-CN"/>
        </w:rPr>
      </w:pPr>
      <w:r>
        <w:rPr>
          <w:rStyle w:val="10"/>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cstheme="minorEastAsia"/>
          <w:color w:val="auto"/>
          <w:sz w:val="24"/>
          <w:szCs w:val="24"/>
          <w:highlight w:val="none"/>
          <w:lang w:val="en-US" w:eastAsia="zh-CN"/>
        </w:rPr>
        <w:t>投标人</w:t>
      </w:r>
      <w:r>
        <w:rPr>
          <w:rFonts w:hint="eastAsia" w:asciiTheme="minorEastAsia" w:hAnsiTheme="minorEastAsia" w:eastAsiaTheme="minorEastAsia" w:cstheme="minorEastAsia"/>
          <w:color w:val="auto"/>
          <w:sz w:val="24"/>
          <w:szCs w:val="24"/>
          <w:highlight w:val="none"/>
          <w:lang w:val="en-US" w:eastAsia="zh-CN"/>
        </w:rPr>
        <w:t>须投入的设备、设施清单</w:t>
      </w:r>
      <w:r>
        <w:rPr>
          <w:rFonts w:hint="eastAsia" w:asciiTheme="minorEastAsia" w:hAnsiTheme="minorEastAsia" w:cstheme="minorEastAsia"/>
          <w:color w:val="auto"/>
          <w:sz w:val="24"/>
          <w:szCs w:val="24"/>
          <w:highlight w:val="none"/>
          <w:lang w:val="en-US" w:eastAsia="zh-CN"/>
        </w:rPr>
        <w:t>：</w:t>
      </w:r>
    </w:p>
    <w:p w14:paraId="3A1D81F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（1）检验中心</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789"/>
        <w:gridCol w:w="2619"/>
        <w:gridCol w:w="4802"/>
        <w:gridCol w:w="1032"/>
      </w:tblGrid>
      <w:tr w14:paraId="6238A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208049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总院区检验中心所需仪器设备清单</w:t>
            </w:r>
          </w:p>
        </w:tc>
      </w:tr>
      <w:tr w14:paraId="3E2B8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F25C9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序号</w:t>
            </w:r>
          </w:p>
        </w:tc>
        <w:tc>
          <w:tcPr>
            <w:tcW w:w="1417" w:type="pct"/>
            <w:shd w:val="clear" w:color="auto" w:fill="auto"/>
            <w:vAlign w:val="center"/>
          </w:tcPr>
          <w:p w14:paraId="355D52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仪器设备名称</w:t>
            </w:r>
          </w:p>
        </w:tc>
        <w:tc>
          <w:tcPr>
            <w:tcW w:w="2598" w:type="pct"/>
            <w:shd w:val="clear" w:color="auto" w:fill="auto"/>
            <w:vAlign w:val="center"/>
          </w:tcPr>
          <w:p w14:paraId="279724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auto"/>
                <w:sz w:val="24"/>
                <w:szCs w:val="24"/>
                <w:highlight w:val="none"/>
                <w:u w:val="none"/>
                <w:lang w:val="en-US"/>
              </w:rPr>
            </w:pPr>
            <w:r>
              <w:rPr>
                <w:rFonts w:hint="eastAsia" w:asciiTheme="minorEastAsia" w:hAnsiTheme="minorEastAsia" w:cstheme="minorEastAsia"/>
                <w:i w:val="0"/>
                <w:iCs w:val="0"/>
                <w:color w:val="auto"/>
                <w:kern w:val="0"/>
                <w:sz w:val="24"/>
                <w:szCs w:val="24"/>
                <w:highlight w:val="none"/>
                <w:u w:val="none"/>
                <w:lang w:val="en-US" w:eastAsia="zh-CN" w:bidi="ar"/>
              </w:rPr>
              <w:t>配置说明</w:t>
            </w:r>
          </w:p>
        </w:tc>
        <w:tc>
          <w:tcPr>
            <w:tcW w:w="556" w:type="pct"/>
            <w:shd w:val="clear" w:color="auto" w:fill="auto"/>
            <w:vAlign w:val="center"/>
          </w:tcPr>
          <w:p w14:paraId="3D5C3F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仪器设备数量</w:t>
            </w:r>
          </w:p>
        </w:tc>
      </w:tr>
      <w:tr w14:paraId="576E1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B2A86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c>
          <w:tcPr>
            <w:tcW w:w="1417" w:type="pct"/>
            <w:shd w:val="clear" w:color="auto" w:fill="auto"/>
            <w:vAlign w:val="center"/>
          </w:tcPr>
          <w:p w14:paraId="1F36AF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全自动生化免疫流水线</w:t>
            </w:r>
          </w:p>
        </w:tc>
        <w:tc>
          <w:tcPr>
            <w:tcW w:w="2598" w:type="pct"/>
            <w:shd w:val="clear" w:color="auto" w:fill="auto"/>
            <w:vAlign w:val="center"/>
          </w:tcPr>
          <w:p w14:paraId="5817B9FB">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需包含：全自动样本处理系统1套，全自动生化分析仪2台，全自动化学发光免疫分析仪 2台。</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42C2E4A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1组</w:t>
            </w:r>
          </w:p>
        </w:tc>
      </w:tr>
      <w:tr w14:paraId="0EAB4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F7BA9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c>
          <w:tcPr>
            <w:tcW w:w="1417" w:type="pct"/>
            <w:shd w:val="clear" w:color="auto" w:fill="auto"/>
            <w:vAlign w:val="center"/>
          </w:tcPr>
          <w:p w14:paraId="00AED2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全自动生化分析仪</w:t>
            </w:r>
          </w:p>
        </w:tc>
        <w:tc>
          <w:tcPr>
            <w:tcW w:w="2598" w:type="pct"/>
            <w:shd w:val="clear" w:color="auto" w:fill="auto"/>
            <w:vAlign w:val="center"/>
          </w:tcPr>
          <w:p w14:paraId="440555CC">
            <w:pPr>
              <w:keepNext w:val="0"/>
              <w:keepLines w:val="0"/>
              <w:pageBreakBefore w:val="0"/>
              <w:numPr>
                <w:ilvl w:val="0"/>
                <w:numId w:val="0"/>
              </w:numPr>
              <w:kinsoku/>
              <w:wordWrap/>
              <w:overflowPunct/>
              <w:topLinePunct w:val="0"/>
              <w:autoSpaceDE/>
              <w:autoSpaceDN/>
              <w:bidi w:val="0"/>
              <w:adjustRightInd/>
              <w:snapToGrid/>
              <w:spacing w:line="360" w:lineRule="auto"/>
              <w:ind w:leftChars="0"/>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47EEEA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D4C7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6756A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w:t>
            </w:r>
          </w:p>
        </w:tc>
        <w:tc>
          <w:tcPr>
            <w:tcW w:w="1417" w:type="pct"/>
            <w:shd w:val="clear" w:color="auto" w:fill="auto"/>
            <w:vAlign w:val="center"/>
          </w:tcPr>
          <w:p w14:paraId="394E15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全自动凝血分析仪</w:t>
            </w:r>
          </w:p>
        </w:tc>
        <w:tc>
          <w:tcPr>
            <w:tcW w:w="2598" w:type="pct"/>
            <w:shd w:val="clear" w:color="auto" w:fill="auto"/>
            <w:vAlign w:val="center"/>
          </w:tcPr>
          <w:p w14:paraId="6101FBD9">
            <w:pPr>
              <w:keepNext w:val="0"/>
              <w:keepLines w:val="0"/>
              <w:pageBreakBefore w:val="0"/>
              <w:kinsoku/>
              <w:wordWrap/>
              <w:overflowPunct/>
              <w:topLinePunct w:val="0"/>
              <w:autoSpaceDE/>
              <w:autoSpaceDN/>
              <w:bidi w:val="0"/>
              <w:adjustRightInd/>
              <w:snapToGrid/>
              <w:spacing w:line="360" w:lineRule="auto"/>
              <w:jc w:val="both"/>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1B6280C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2台</w:t>
            </w:r>
          </w:p>
        </w:tc>
      </w:tr>
      <w:tr w14:paraId="5FFDD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AC075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w:t>
            </w:r>
          </w:p>
        </w:tc>
        <w:tc>
          <w:tcPr>
            <w:tcW w:w="1417" w:type="pct"/>
            <w:shd w:val="clear" w:color="auto" w:fill="auto"/>
            <w:vAlign w:val="center"/>
          </w:tcPr>
          <w:p w14:paraId="7A4416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糖化血红蛋白测试系统</w:t>
            </w:r>
          </w:p>
        </w:tc>
        <w:tc>
          <w:tcPr>
            <w:tcW w:w="2598" w:type="pct"/>
            <w:shd w:val="clear" w:color="auto" w:fill="auto"/>
            <w:vAlign w:val="center"/>
          </w:tcPr>
          <w:p w14:paraId="7C18A121">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C96E8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7F0B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EC103B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w:t>
            </w:r>
          </w:p>
        </w:tc>
        <w:tc>
          <w:tcPr>
            <w:tcW w:w="1417" w:type="pct"/>
            <w:shd w:val="clear" w:color="auto" w:fill="auto"/>
            <w:vAlign w:val="center"/>
          </w:tcPr>
          <w:p w14:paraId="3917A07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全自动特定蛋白分析仪</w:t>
            </w:r>
          </w:p>
        </w:tc>
        <w:tc>
          <w:tcPr>
            <w:tcW w:w="2598" w:type="pct"/>
            <w:shd w:val="clear" w:color="auto" w:fill="auto"/>
            <w:vAlign w:val="center"/>
          </w:tcPr>
          <w:p w14:paraId="776A8FA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7F624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5185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E04D5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c>
          <w:tcPr>
            <w:tcW w:w="1417" w:type="pct"/>
            <w:shd w:val="clear" w:color="auto" w:fill="auto"/>
            <w:vAlign w:val="center"/>
          </w:tcPr>
          <w:p w14:paraId="6CE5E94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微量高速冷冻离心机</w:t>
            </w:r>
          </w:p>
        </w:tc>
        <w:tc>
          <w:tcPr>
            <w:tcW w:w="2598" w:type="pct"/>
            <w:shd w:val="clear" w:color="auto" w:fill="auto"/>
            <w:vAlign w:val="center"/>
          </w:tcPr>
          <w:p w14:paraId="0578FAB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C24E7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4B7C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9D665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7</w:t>
            </w:r>
          </w:p>
        </w:tc>
        <w:tc>
          <w:tcPr>
            <w:tcW w:w="1417" w:type="pct"/>
            <w:shd w:val="clear" w:color="auto" w:fill="auto"/>
            <w:vAlign w:val="center"/>
          </w:tcPr>
          <w:p w14:paraId="7DB28C5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医用离心机</w:t>
            </w:r>
          </w:p>
        </w:tc>
        <w:tc>
          <w:tcPr>
            <w:tcW w:w="2598" w:type="pct"/>
            <w:shd w:val="clear" w:color="auto" w:fill="auto"/>
            <w:vAlign w:val="center"/>
          </w:tcPr>
          <w:p w14:paraId="109EA2B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0DD7FE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4台</w:t>
            </w:r>
          </w:p>
        </w:tc>
      </w:tr>
      <w:tr w14:paraId="059F2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85188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w:t>
            </w:r>
          </w:p>
        </w:tc>
        <w:tc>
          <w:tcPr>
            <w:tcW w:w="1417" w:type="pct"/>
            <w:shd w:val="clear" w:color="auto" w:fill="auto"/>
            <w:vAlign w:val="center"/>
          </w:tcPr>
          <w:p w14:paraId="72BF67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隔水式恒温培养箱</w:t>
            </w:r>
          </w:p>
        </w:tc>
        <w:tc>
          <w:tcPr>
            <w:tcW w:w="2598" w:type="pct"/>
            <w:shd w:val="clear" w:color="auto" w:fill="auto"/>
            <w:vAlign w:val="center"/>
          </w:tcPr>
          <w:p w14:paraId="3EE0D29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A8658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2B44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C07BA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w:t>
            </w:r>
          </w:p>
        </w:tc>
        <w:tc>
          <w:tcPr>
            <w:tcW w:w="1417" w:type="pct"/>
            <w:shd w:val="clear" w:color="auto" w:fill="auto"/>
            <w:vAlign w:val="center"/>
          </w:tcPr>
          <w:p w14:paraId="1AF772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移液器</w:t>
            </w:r>
          </w:p>
        </w:tc>
        <w:tc>
          <w:tcPr>
            <w:tcW w:w="2598" w:type="pct"/>
            <w:shd w:val="clear" w:color="auto" w:fill="auto"/>
            <w:vAlign w:val="center"/>
          </w:tcPr>
          <w:p w14:paraId="183FC52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AE334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5B767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401590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w:t>
            </w:r>
          </w:p>
        </w:tc>
        <w:tc>
          <w:tcPr>
            <w:tcW w:w="1417" w:type="pct"/>
            <w:shd w:val="clear" w:color="auto" w:fill="auto"/>
            <w:vAlign w:val="center"/>
          </w:tcPr>
          <w:p w14:paraId="0DD4D9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4度医用冰箱</w:t>
            </w:r>
          </w:p>
        </w:tc>
        <w:tc>
          <w:tcPr>
            <w:tcW w:w="2598" w:type="pct"/>
            <w:shd w:val="clear" w:color="auto" w:fill="auto"/>
            <w:vAlign w:val="center"/>
          </w:tcPr>
          <w:p w14:paraId="5A1EF2F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9D68F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6C28A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99D2A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11</w:t>
            </w:r>
          </w:p>
        </w:tc>
        <w:tc>
          <w:tcPr>
            <w:tcW w:w="1417" w:type="pct"/>
            <w:shd w:val="clear" w:color="auto" w:fill="auto"/>
            <w:vAlign w:val="center"/>
          </w:tcPr>
          <w:p w14:paraId="62A287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负20度冰箱 </w:t>
            </w:r>
          </w:p>
        </w:tc>
        <w:tc>
          <w:tcPr>
            <w:tcW w:w="2598" w:type="pct"/>
            <w:shd w:val="clear" w:color="auto" w:fill="auto"/>
            <w:vAlign w:val="center"/>
          </w:tcPr>
          <w:p w14:paraId="782DAA3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4E0479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40CD7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73C56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12</w:t>
            </w:r>
          </w:p>
        </w:tc>
        <w:tc>
          <w:tcPr>
            <w:tcW w:w="1417" w:type="pct"/>
            <w:shd w:val="clear" w:color="auto" w:fill="auto"/>
            <w:vAlign w:val="center"/>
          </w:tcPr>
          <w:p w14:paraId="11C5AF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负80度冰箱 </w:t>
            </w:r>
          </w:p>
        </w:tc>
        <w:tc>
          <w:tcPr>
            <w:tcW w:w="2598" w:type="pct"/>
            <w:shd w:val="clear" w:color="auto" w:fill="auto"/>
            <w:vAlign w:val="center"/>
          </w:tcPr>
          <w:p w14:paraId="3CF59A4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4D69B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5086F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55318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13</w:t>
            </w:r>
          </w:p>
        </w:tc>
        <w:tc>
          <w:tcPr>
            <w:tcW w:w="1417" w:type="pct"/>
            <w:shd w:val="clear" w:color="auto" w:fill="auto"/>
            <w:vAlign w:val="center"/>
          </w:tcPr>
          <w:p w14:paraId="6EEB6BD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全自动化学发光免疫分析仪</w:t>
            </w:r>
          </w:p>
        </w:tc>
        <w:tc>
          <w:tcPr>
            <w:tcW w:w="2598" w:type="pct"/>
            <w:shd w:val="clear" w:color="auto" w:fill="auto"/>
            <w:vAlign w:val="center"/>
          </w:tcPr>
          <w:p w14:paraId="5120221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35E3A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33FC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7B6C3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14</w:t>
            </w:r>
          </w:p>
        </w:tc>
        <w:tc>
          <w:tcPr>
            <w:tcW w:w="1417" w:type="pct"/>
            <w:shd w:val="clear" w:color="auto" w:fill="auto"/>
            <w:vAlign w:val="center"/>
          </w:tcPr>
          <w:p w14:paraId="21753DF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水平旋转摇床</w:t>
            </w:r>
          </w:p>
        </w:tc>
        <w:tc>
          <w:tcPr>
            <w:tcW w:w="2598" w:type="pct"/>
            <w:shd w:val="clear" w:color="auto" w:fill="auto"/>
            <w:vAlign w:val="center"/>
          </w:tcPr>
          <w:p w14:paraId="010E007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6F6D1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D773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5D66C7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w:t>
            </w:r>
          </w:p>
        </w:tc>
        <w:tc>
          <w:tcPr>
            <w:tcW w:w="1417" w:type="pct"/>
            <w:shd w:val="clear" w:color="auto" w:fill="auto"/>
            <w:vAlign w:val="center"/>
          </w:tcPr>
          <w:p w14:paraId="0E5C4C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酶标仪</w:t>
            </w:r>
          </w:p>
        </w:tc>
        <w:tc>
          <w:tcPr>
            <w:tcW w:w="2598" w:type="pct"/>
            <w:shd w:val="clear" w:color="auto" w:fill="auto"/>
            <w:vAlign w:val="center"/>
          </w:tcPr>
          <w:p w14:paraId="026AE17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9B359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2549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5C43B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c>
          <w:tcPr>
            <w:tcW w:w="1417" w:type="pct"/>
            <w:shd w:val="clear" w:color="auto" w:fill="auto"/>
            <w:vAlign w:val="center"/>
          </w:tcPr>
          <w:p w14:paraId="06B0F4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洗板机</w:t>
            </w:r>
          </w:p>
        </w:tc>
        <w:tc>
          <w:tcPr>
            <w:tcW w:w="2598" w:type="pct"/>
            <w:shd w:val="clear" w:color="auto" w:fill="auto"/>
            <w:vAlign w:val="center"/>
          </w:tcPr>
          <w:p w14:paraId="6AF5702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B73AF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3F7F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61F8F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17</w:t>
            </w:r>
          </w:p>
        </w:tc>
        <w:tc>
          <w:tcPr>
            <w:tcW w:w="1417" w:type="pct"/>
            <w:shd w:val="clear" w:color="auto" w:fill="auto"/>
            <w:vAlign w:val="center"/>
          </w:tcPr>
          <w:p w14:paraId="5945C4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孵育器</w:t>
            </w:r>
          </w:p>
        </w:tc>
        <w:tc>
          <w:tcPr>
            <w:tcW w:w="2598" w:type="pct"/>
            <w:shd w:val="clear" w:color="auto" w:fill="auto"/>
            <w:vAlign w:val="center"/>
          </w:tcPr>
          <w:p w14:paraId="38385F8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0F017B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C508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E0327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18</w:t>
            </w:r>
          </w:p>
        </w:tc>
        <w:tc>
          <w:tcPr>
            <w:tcW w:w="1417" w:type="pct"/>
            <w:shd w:val="clear" w:color="auto" w:fill="auto"/>
            <w:vAlign w:val="center"/>
          </w:tcPr>
          <w:p w14:paraId="36DB55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全自动血液分析流水线</w:t>
            </w:r>
          </w:p>
        </w:tc>
        <w:tc>
          <w:tcPr>
            <w:tcW w:w="2598" w:type="pct"/>
            <w:shd w:val="clear" w:color="auto" w:fill="auto"/>
            <w:vAlign w:val="center"/>
          </w:tcPr>
          <w:p w14:paraId="64506A5B">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5049CC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1组</w:t>
            </w:r>
          </w:p>
        </w:tc>
      </w:tr>
      <w:tr w14:paraId="606F3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AD6948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19</w:t>
            </w:r>
          </w:p>
        </w:tc>
        <w:tc>
          <w:tcPr>
            <w:tcW w:w="1417" w:type="pct"/>
            <w:shd w:val="clear" w:color="auto" w:fill="auto"/>
            <w:vAlign w:val="center"/>
          </w:tcPr>
          <w:p w14:paraId="447C76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全自动血细胞分析仪+特定蛋白分析仪（CRP)</w:t>
            </w:r>
          </w:p>
        </w:tc>
        <w:tc>
          <w:tcPr>
            <w:tcW w:w="2598" w:type="pct"/>
            <w:shd w:val="clear" w:color="auto" w:fill="auto"/>
            <w:vAlign w:val="center"/>
          </w:tcPr>
          <w:p w14:paraId="253F815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A641B3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1234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DA7F4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20</w:t>
            </w:r>
          </w:p>
        </w:tc>
        <w:tc>
          <w:tcPr>
            <w:tcW w:w="1417" w:type="pct"/>
            <w:shd w:val="clear" w:color="auto" w:fill="auto"/>
            <w:vAlign w:val="center"/>
          </w:tcPr>
          <w:p w14:paraId="0F943B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全自动血流变测试仪</w:t>
            </w:r>
          </w:p>
        </w:tc>
        <w:tc>
          <w:tcPr>
            <w:tcW w:w="2598" w:type="pct"/>
            <w:shd w:val="clear" w:color="auto" w:fill="auto"/>
            <w:vAlign w:val="center"/>
          </w:tcPr>
          <w:p w14:paraId="70C2D9A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5E4C1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C3C1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4649B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21</w:t>
            </w:r>
          </w:p>
        </w:tc>
        <w:tc>
          <w:tcPr>
            <w:tcW w:w="1417" w:type="pct"/>
            <w:shd w:val="clear" w:color="auto" w:fill="auto"/>
            <w:vAlign w:val="center"/>
          </w:tcPr>
          <w:p w14:paraId="5689C0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全自动血沉压积测试仪</w:t>
            </w:r>
          </w:p>
        </w:tc>
        <w:tc>
          <w:tcPr>
            <w:tcW w:w="2598" w:type="pct"/>
            <w:shd w:val="clear" w:color="auto" w:fill="auto"/>
            <w:vAlign w:val="center"/>
          </w:tcPr>
          <w:p w14:paraId="248C8FB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C7A04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190E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157AA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22</w:t>
            </w:r>
          </w:p>
        </w:tc>
        <w:tc>
          <w:tcPr>
            <w:tcW w:w="1417" w:type="pct"/>
            <w:shd w:val="clear" w:color="auto" w:fill="auto"/>
            <w:vAlign w:val="center"/>
          </w:tcPr>
          <w:p w14:paraId="47282D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血气生化分析仪</w:t>
            </w:r>
          </w:p>
        </w:tc>
        <w:tc>
          <w:tcPr>
            <w:tcW w:w="2598" w:type="pct"/>
            <w:shd w:val="clear" w:color="auto" w:fill="auto"/>
            <w:vAlign w:val="center"/>
          </w:tcPr>
          <w:p w14:paraId="42FFB3C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BF97A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69E8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2130FE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23</w:t>
            </w:r>
          </w:p>
        </w:tc>
        <w:tc>
          <w:tcPr>
            <w:tcW w:w="1417" w:type="pct"/>
            <w:shd w:val="clear" w:color="auto" w:fill="auto"/>
            <w:vAlign w:val="center"/>
          </w:tcPr>
          <w:p w14:paraId="2C7B85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生物显微镜</w:t>
            </w:r>
          </w:p>
        </w:tc>
        <w:tc>
          <w:tcPr>
            <w:tcW w:w="2598" w:type="pct"/>
            <w:shd w:val="clear" w:color="auto" w:fill="auto"/>
            <w:vAlign w:val="center"/>
          </w:tcPr>
          <w:p w14:paraId="0951B54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9EDF0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6台</w:t>
            </w:r>
          </w:p>
        </w:tc>
      </w:tr>
      <w:tr w14:paraId="38D02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40B1F7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24</w:t>
            </w:r>
          </w:p>
        </w:tc>
        <w:tc>
          <w:tcPr>
            <w:tcW w:w="1417" w:type="pct"/>
            <w:shd w:val="clear" w:color="auto" w:fill="auto"/>
            <w:vAlign w:val="center"/>
          </w:tcPr>
          <w:p w14:paraId="59E23D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全自动有型成分分析仪+全自动尿液分析仪</w:t>
            </w:r>
          </w:p>
        </w:tc>
        <w:tc>
          <w:tcPr>
            <w:tcW w:w="2598" w:type="pct"/>
            <w:shd w:val="clear" w:color="auto" w:fill="auto"/>
            <w:vAlign w:val="center"/>
          </w:tcPr>
          <w:p w14:paraId="506212B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60307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1组</w:t>
            </w:r>
          </w:p>
        </w:tc>
      </w:tr>
      <w:tr w14:paraId="2E03D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C7C69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25</w:t>
            </w:r>
          </w:p>
        </w:tc>
        <w:tc>
          <w:tcPr>
            <w:tcW w:w="1417" w:type="pct"/>
            <w:shd w:val="clear" w:color="auto" w:fill="auto"/>
            <w:vAlign w:val="center"/>
          </w:tcPr>
          <w:p w14:paraId="641B7D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半自动尿液分析仪</w:t>
            </w:r>
          </w:p>
        </w:tc>
        <w:tc>
          <w:tcPr>
            <w:tcW w:w="2598" w:type="pct"/>
            <w:shd w:val="clear" w:color="auto" w:fill="auto"/>
            <w:vAlign w:val="center"/>
          </w:tcPr>
          <w:p w14:paraId="5AF0743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376E1E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F0E2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131DBC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26</w:t>
            </w:r>
          </w:p>
        </w:tc>
        <w:tc>
          <w:tcPr>
            <w:tcW w:w="1417" w:type="pct"/>
            <w:shd w:val="clear" w:color="auto" w:fill="auto"/>
            <w:vAlign w:val="center"/>
          </w:tcPr>
          <w:p w14:paraId="64AF31C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阴道炎检测仪</w:t>
            </w:r>
          </w:p>
        </w:tc>
        <w:tc>
          <w:tcPr>
            <w:tcW w:w="2598" w:type="pct"/>
            <w:shd w:val="clear" w:color="auto" w:fill="auto"/>
            <w:vAlign w:val="center"/>
          </w:tcPr>
          <w:p w14:paraId="5C7EC93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CC5EE0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9A1F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51DCA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27</w:t>
            </w:r>
          </w:p>
        </w:tc>
        <w:tc>
          <w:tcPr>
            <w:tcW w:w="1417" w:type="pct"/>
            <w:shd w:val="clear" w:color="auto" w:fill="auto"/>
            <w:vAlign w:val="center"/>
          </w:tcPr>
          <w:p w14:paraId="53B6F4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相差显微镜</w:t>
            </w:r>
          </w:p>
        </w:tc>
        <w:tc>
          <w:tcPr>
            <w:tcW w:w="2598" w:type="pct"/>
            <w:shd w:val="clear" w:color="auto" w:fill="auto"/>
            <w:vAlign w:val="center"/>
          </w:tcPr>
          <w:p w14:paraId="39E5A3B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0D5E59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AEBC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92B9BF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28</w:t>
            </w:r>
          </w:p>
        </w:tc>
        <w:tc>
          <w:tcPr>
            <w:tcW w:w="1417" w:type="pct"/>
            <w:shd w:val="clear" w:color="auto" w:fill="auto"/>
            <w:vAlign w:val="center"/>
          </w:tcPr>
          <w:p w14:paraId="19D386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荧光显微镜</w:t>
            </w:r>
          </w:p>
        </w:tc>
        <w:tc>
          <w:tcPr>
            <w:tcW w:w="2598" w:type="pct"/>
            <w:shd w:val="clear" w:color="auto" w:fill="auto"/>
            <w:vAlign w:val="center"/>
          </w:tcPr>
          <w:p w14:paraId="15ECE8A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8DA644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4EAFF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3BD9C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29</w:t>
            </w:r>
          </w:p>
        </w:tc>
        <w:tc>
          <w:tcPr>
            <w:tcW w:w="1417" w:type="pct"/>
            <w:shd w:val="clear" w:color="auto" w:fill="auto"/>
            <w:vAlign w:val="center"/>
          </w:tcPr>
          <w:p w14:paraId="73D428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水浴恒温箱</w:t>
            </w:r>
          </w:p>
        </w:tc>
        <w:tc>
          <w:tcPr>
            <w:tcW w:w="2598" w:type="pct"/>
            <w:shd w:val="clear" w:color="auto" w:fill="auto"/>
            <w:vAlign w:val="center"/>
          </w:tcPr>
          <w:p w14:paraId="0D7079E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2DE6B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0F1D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806186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30</w:t>
            </w:r>
          </w:p>
        </w:tc>
        <w:tc>
          <w:tcPr>
            <w:tcW w:w="1417" w:type="pct"/>
            <w:shd w:val="clear" w:color="auto" w:fill="auto"/>
            <w:vAlign w:val="center"/>
          </w:tcPr>
          <w:p w14:paraId="557593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全自动精子分析仪</w:t>
            </w:r>
          </w:p>
        </w:tc>
        <w:tc>
          <w:tcPr>
            <w:tcW w:w="2598" w:type="pct"/>
            <w:shd w:val="clear" w:color="auto" w:fill="auto"/>
            <w:vAlign w:val="center"/>
          </w:tcPr>
          <w:p w14:paraId="12D9059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718D3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B9A6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10326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31</w:t>
            </w:r>
          </w:p>
        </w:tc>
        <w:tc>
          <w:tcPr>
            <w:tcW w:w="1417" w:type="pct"/>
            <w:shd w:val="clear" w:color="auto" w:fill="auto"/>
            <w:vAlign w:val="center"/>
          </w:tcPr>
          <w:p w14:paraId="31DE87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全自动细菌培养系统</w:t>
            </w:r>
          </w:p>
        </w:tc>
        <w:tc>
          <w:tcPr>
            <w:tcW w:w="2598" w:type="pct"/>
            <w:shd w:val="clear" w:color="auto" w:fill="auto"/>
            <w:vAlign w:val="center"/>
          </w:tcPr>
          <w:p w14:paraId="58BE4B0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9A53D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C168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20F3DA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32</w:t>
            </w:r>
          </w:p>
        </w:tc>
        <w:tc>
          <w:tcPr>
            <w:tcW w:w="1417" w:type="pct"/>
            <w:shd w:val="clear" w:color="auto" w:fill="auto"/>
            <w:vAlign w:val="center"/>
          </w:tcPr>
          <w:p w14:paraId="5D4E08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全自动微生物鉴定药敏分析仪</w:t>
            </w:r>
          </w:p>
        </w:tc>
        <w:tc>
          <w:tcPr>
            <w:tcW w:w="2598" w:type="pct"/>
            <w:shd w:val="clear" w:color="auto" w:fill="auto"/>
            <w:vAlign w:val="center"/>
          </w:tcPr>
          <w:p w14:paraId="0325938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4FCC87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B16C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75749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33</w:t>
            </w:r>
          </w:p>
        </w:tc>
        <w:tc>
          <w:tcPr>
            <w:tcW w:w="1417" w:type="pct"/>
            <w:shd w:val="clear" w:color="auto" w:fill="auto"/>
            <w:vAlign w:val="center"/>
          </w:tcPr>
          <w:p w14:paraId="5BC749F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全自动血培养系统</w:t>
            </w:r>
          </w:p>
        </w:tc>
        <w:tc>
          <w:tcPr>
            <w:tcW w:w="2598" w:type="pct"/>
            <w:shd w:val="clear" w:color="auto" w:fill="auto"/>
            <w:vAlign w:val="center"/>
          </w:tcPr>
          <w:p w14:paraId="64004C1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B2791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BAD8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06557E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34</w:t>
            </w:r>
          </w:p>
        </w:tc>
        <w:tc>
          <w:tcPr>
            <w:tcW w:w="1417" w:type="pct"/>
            <w:shd w:val="clear" w:color="auto" w:fill="auto"/>
            <w:vAlign w:val="center"/>
          </w:tcPr>
          <w:p w14:paraId="1E1D51D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全自动微生物质谱检测系统</w:t>
            </w:r>
          </w:p>
        </w:tc>
        <w:tc>
          <w:tcPr>
            <w:tcW w:w="2598" w:type="pct"/>
            <w:shd w:val="clear" w:color="auto" w:fill="auto"/>
            <w:vAlign w:val="center"/>
          </w:tcPr>
          <w:p w14:paraId="002F946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6A9276D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E75D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E944A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35</w:t>
            </w:r>
          </w:p>
        </w:tc>
        <w:tc>
          <w:tcPr>
            <w:tcW w:w="1417" w:type="pct"/>
            <w:shd w:val="clear" w:color="auto" w:fill="auto"/>
            <w:vAlign w:val="center"/>
          </w:tcPr>
          <w:p w14:paraId="1559E5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生物安全柜</w:t>
            </w:r>
          </w:p>
        </w:tc>
        <w:tc>
          <w:tcPr>
            <w:tcW w:w="2598" w:type="pct"/>
            <w:shd w:val="clear" w:color="auto" w:fill="auto"/>
            <w:vAlign w:val="center"/>
          </w:tcPr>
          <w:p w14:paraId="370B092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91B26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3台</w:t>
            </w:r>
          </w:p>
        </w:tc>
      </w:tr>
      <w:tr w14:paraId="5F5E1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0EF56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36</w:t>
            </w:r>
          </w:p>
        </w:tc>
        <w:tc>
          <w:tcPr>
            <w:tcW w:w="1417" w:type="pct"/>
            <w:shd w:val="clear" w:color="auto" w:fill="auto"/>
            <w:vAlign w:val="center"/>
          </w:tcPr>
          <w:p w14:paraId="250914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CO2培养箱</w:t>
            </w:r>
          </w:p>
        </w:tc>
        <w:tc>
          <w:tcPr>
            <w:tcW w:w="2598" w:type="pct"/>
            <w:shd w:val="clear" w:color="auto" w:fill="auto"/>
            <w:vAlign w:val="center"/>
          </w:tcPr>
          <w:p w14:paraId="781A8CE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F3BAF5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7676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9C90C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37</w:t>
            </w:r>
          </w:p>
        </w:tc>
        <w:tc>
          <w:tcPr>
            <w:tcW w:w="1417" w:type="pct"/>
            <w:shd w:val="clear" w:color="auto" w:fill="auto"/>
            <w:vAlign w:val="center"/>
          </w:tcPr>
          <w:p w14:paraId="5B06AA7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隔水式恒温培养箱</w:t>
            </w:r>
          </w:p>
        </w:tc>
        <w:tc>
          <w:tcPr>
            <w:tcW w:w="2598" w:type="pct"/>
            <w:shd w:val="clear" w:color="auto" w:fill="auto"/>
            <w:vAlign w:val="center"/>
          </w:tcPr>
          <w:p w14:paraId="7092173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C21C1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3台</w:t>
            </w:r>
          </w:p>
        </w:tc>
      </w:tr>
      <w:tr w14:paraId="6FF2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0B1CE9B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38</w:t>
            </w:r>
          </w:p>
        </w:tc>
        <w:tc>
          <w:tcPr>
            <w:tcW w:w="1417" w:type="pct"/>
            <w:shd w:val="clear" w:color="auto" w:fill="auto"/>
            <w:vAlign w:val="center"/>
          </w:tcPr>
          <w:p w14:paraId="77E2DCC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立式压力蒸汽灭菌器</w:t>
            </w:r>
          </w:p>
        </w:tc>
        <w:tc>
          <w:tcPr>
            <w:tcW w:w="2598" w:type="pct"/>
            <w:shd w:val="clear" w:color="auto" w:fill="auto"/>
            <w:vAlign w:val="center"/>
          </w:tcPr>
          <w:p w14:paraId="63F3F89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F1DF23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6275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22EB5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39</w:t>
            </w:r>
          </w:p>
        </w:tc>
        <w:tc>
          <w:tcPr>
            <w:tcW w:w="1417" w:type="pct"/>
            <w:shd w:val="clear" w:color="auto" w:fill="auto"/>
            <w:vAlign w:val="center"/>
          </w:tcPr>
          <w:p w14:paraId="26942D9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0.28脉动真空蒸汽灭菌器</w:t>
            </w:r>
          </w:p>
        </w:tc>
        <w:tc>
          <w:tcPr>
            <w:tcW w:w="2598" w:type="pct"/>
            <w:shd w:val="clear" w:color="auto" w:fill="auto"/>
            <w:vAlign w:val="center"/>
          </w:tcPr>
          <w:p w14:paraId="148E05E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88AF82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D3FB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6B6D07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40</w:t>
            </w:r>
          </w:p>
        </w:tc>
        <w:tc>
          <w:tcPr>
            <w:tcW w:w="1417" w:type="pct"/>
            <w:shd w:val="clear" w:color="auto" w:fill="auto"/>
            <w:vAlign w:val="center"/>
          </w:tcPr>
          <w:p w14:paraId="64FAE05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全自动染色机</w:t>
            </w:r>
          </w:p>
        </w:tc>
        <w:tc>
          <w:tcPr>
            <w:tcW w:w="2598" w:type="pct"/>
            <w:shd w:val="clear" w:color="auto" w:fill="auto"/>
            <w:vAlign w:val="center"/>
          </w:tcPr>
          <w:p w14:paraId="6C91EE9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6E481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DDFD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5DBBA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41</w:t>
            </w:r>
          </w:p>
        </w:tc>
        <w:tc>
          <w:tcPr>
            <w:tcW w:w="1417" w:type="pct"/>
            <w:shd w:val="clear" w:color="auto" w:fill="auto"/>
            <w:vAlign w:val="center"/>
          </w:tcPr>
          <w:p w14:paraId="2A4993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霉菌培养箱</w:t>
            </w:r>
          </w:p>
        </w:tc>
        <w:tc>
          <w:tcPr>
            <w:tcW w:w="2598" w:type="pct"/>
            <w:shd w:val="clear" w:color="auto" w:fill="auto"/>
            <w:vAlign w:val="center"/>
          </w:tcPr>
          <w:p w14:paraId="573B132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7FCE5B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CD4F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F151C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42</w:t>
            </w:r>
          </w:p>
        </w:tc>
        <w:tc>
          <w:tcPr>
            <w:tcW w:w="1417" w:type="pct"/>
            <w:shd w:val="clear" w:color="auto" w:fill="auto"/>
            <w:vAlign w:val="center"/>
          </w:tcPr>
          <w:p w14:paraId="0ACC20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漩涡震荡仪</w:t>
            </w:r>
          </w:p>
        </w:tc>
        <w:tc>
          <w:tcPr>
            <w:tcW w:w="2598" w:type="pct"/>
            <w:shd w:val="clear" w:color="auto" w:fill="auto"/>
            <w:vAlign w:val="center"/>
          </w:tcPr>
          <w:p w14:paraId="507CDD3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5C7E0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C08F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0F1D8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43</w:t>
            </w:r>
          </w:p>
        </w:tc>
        <w:tc>
          <w:tcPr>
            <w:tcW w:w="1417" w:type="pct"/>
            <w:shd w:val="clear" w:color="auto" w:fill="auto"/>
            <w:vAlign w:val="center"/>
          </w:tcPr>
          <w:p w14:paraId="2205E2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比浊仪</w:t>
            </w:r>
          </w:p>
        </w:tc>
        <w:tc>
          <w:tcPr>
            <w:tcW w:w="2598" w:type="pct"/>
            <w:shd w:val="clear" w:color="auto" w:fill="auto"/>
            <w:vAlign w:val="center"/>
          </w:tcPr>
          <w:p w14:paraId="2390390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56DC72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54C41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5215E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44</w:t>
            </w:r>
          </w:p>
        </w:tc>
        <w:tc>
          <w:tcPr>
            <w:tcW w:w="1417" w:type="pct"/>
            <w:shd w:val="clear" w:color="auto" w:fill="auto"/>
            <w:vAlign w:val="center"/>
          </w:tcPr>
          <w:p w14:paraId="6F4D22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漩涡震荡仪</w:t>
            </w:r>
          </w:p>
        </w:tc>
        <w:tc>
          <w:tcPr>
            <w:tcW w:w="2598" w:type="pct"/>
            <w:shd w:val="clear" w:color="auto" w:fill="auto"/>
            <w:vAlign w:val="center"/>
          </w:tcPr>
          <w:p w14:paraId="21B7968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FBF66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9F8C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6A280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45</w:t>
            </w:r>
          </w:p>
        </w:tc>
        <w:tc>
          <w:tcPr>
            <w:tcW w:w="1417" w:type="pct"/>
            <w:shd w:val="clear" w:color="auto" w:fill="auto"/>
            <w:vAlign w:val="center"/>
          </w:tcPr>
          <w:p w14:paraId="6208DB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皮肤真菌荧光染色镜检系统</w:t>
            </w:r>
          </w:p>
        </w:tc>
        <w:tc>
          <w:tcPr>
            <w:tcW w:w="2598" w:type="pct"/>
            <w:shd w:val="clear" w:color="auto" w:fill="auto"/>
            <w:vAlign w:val="center"/>
          </w:tcPr>
          <w:p w14:paraId="02F4CBB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77599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1套</w:t>
            </w:r>
          </w:p>
        </w:tc>
      </w:tr>
      <w:tr w14:paraId="6F477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094EB23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46</w:t>
            </w:r>
          </w:p>
        </w:tc>
        <w:tc>
          <w:tcPr>
            <w:tcW w:w="1417" w:type="pct"/>
            <w:shd w:val="clear" w:color="auto" w:fill="auto"/>
            <w:vAlign w:val="center"/>
          </w:tcPr>
          <w:p w14:paraId="2D2DA93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微生物用离心机</w:t>
            </w:r>
          </w:p>
        </w:tc>
        <w:tc>
          <w:tcPr>
            <w:tcW w:w="2598" w:type="pct"/>
            <w:shd w:val="clear" w:color="auto" w:fill="auto"/>
            <w:vAlign w:val="center"/>
          </w:tcPr>
          <w:p w14:paraId="655F0E3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17AC0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AC97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1D25C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47</w:t>
            </w:r>
          </w:p>
        </w:tc>
        <w:tc>
          <w:tcPr>
            <w:tcW w:w="1417" w:type="pct"/>
            <w:shd w:val="clear" w:color="auto" w:fill="auto"/>
            <w:vAlign w:val="center"/>
          </w:tcPr>
          <w:p w14:paraId="6C6D7A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医用洁净工作台</w:t>
            </w:r>
          </w:p>
        </w:tc>
        <w:tc>
          <w:tcPr>
            <w:tcW w:w="2598" w:type="pct"/>
            <w:shd w:val="clear" w:color="auto" w:fill="auto"/>
            <w:vAlign w:val="center"/>
          </w:tcPr>
          <w:p w14:paraId="7D626BA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81F06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D5AC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E536C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48</w:t>
            </w:r>
          </w:p>
        </w:tc>
        <w:tc>
          <w:tcPr>
            <w:tcW w:w="1417" w:type="pct"/>
            <w:shd w:val="clear" w:color="auto" w:fill="auto"/>
            <w:vAlign w:val="center"/>
          </w:tcPr>
          <w:p w14:paraId="1AB575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迷你混合仪</w:t>
            </w:r>
          </w:p>
        </w:tc>
        <w:tc>
          <w:tcPr>
            <w:tcW w:w="2598" w:type="pct"/>
            <w:shd w:val="clear" w:color="auto" w:fill="auto"/>
            <w:vAlign w:val="center"/>
          </w:tcPr>
          <w:p w14:paraId="7F6C15D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F5A0E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04DB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7F042C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49</w:t>
            </w:r>
          </w:p>
        </w:tc>
        <w:tc>
          <w:tcPr>
            <w:tcW w:w="1417" w:type="pct"/>
            <w:shd w:val="clear" w:color="auto" w:fill="auto"/>
            <w:vAlign w:val="center"/>
          </w:tcPr>
          <w:p w14:paraId="41A4DE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低速离心机</w:t>
            </w:r>
          </w:p>
        </w:tc>
        <w:tc>
          <w:tcPr>
            <w:tcW w:w="2598" w:type="pct"/>
            <w:shd w:val="clear" w:color="auto" w:fill="auto"/>
            <w:vAlign w:val="center"/>
          </w:tcPr>
          <w:p w14:paraId="5EE58C6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CD9F77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E240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D7C68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50</w:t>
            </w:r>
          </w:p>
        </w:tc>
        <w:tc>
          <w:tcPr>
            <w:tcW w:w="1417" w:type="pct"/>
            <w:shd w:val="clear" w:color="auto" w:fill="auto"/>
            <w:vAlign w:val="center"/>
          </w:tcPr>
          <w:p w14:paraId="37F94D5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高速冷冻离心机</w:t>
            </w:r>
          </w:p>
        </w:tc>
        <w:tc>
          <w:tcPr>
            <w:tcW w:w="2598" w:type="pct"/>
            <w:shd w:val="clear" w:color="auto" w:fill="auto"/>
            <w:vAlign w:val="center"/>
          </w:tcPr>
          <w:p w14:paraId="18294A0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EDB53D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731B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8BAC8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51</w:t>
            </w:r>
          </w:p>
        </w:tc>
        <w:tc>
          <w:tcPr>
            <w:tcW w:w="1417" w:type="pct"/>
            <w:shd w:val="clear" w:color="auto" w:fill="auto"/>
            <w:vAlign w:val="center"/>
          </w:tcPr>
          <w:p w14:paraId="730CD0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核酸提取仪</w:t>
            </w:r>
          </w:p>
        </w:tc>
        <w:tc>
          <w:tcPr>
            <w:tcW w:w="2598" w:type="pct"/>
            <w:shd w:val="clear" w:color="auto" w:fill="auto"/>
            <w:vAlign w:val="center"/>
          </w:tcPr>
          <w:p w14:paraId="41D6721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45139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5F609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8E797B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52</w:t>
            </w:r>
          </w:p>
        </w:tc>
        <w:tc>
          <w:tcPr>
            <w:tcW w:w="1417" w:type="pct"/>
            <w:shd w:val="clear" w:color="auto" w:fill="auto"/>
            <w:vAlign w:val="center"/>
          </w:tcPr>
          <w:p w14:paraId="434077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生物安全柜</w:t>
            </w:r>
          </w:p>
        </w:tc>
        <w:tc>
          <w:tcPr>
            <w:tcW w:w="2598" w:type="pct"/>
            <w:shd w:val="clear" w:color="auto" w:fill="auto"/>
            <w:vAlign w:val="center"/>
          </w:tcPr>
          <w:p w14:paraId="29D1AD9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0F691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3台</w:t>
            </w:r>
          </w:p>
        </w:tc>
      </w:tr>
      <w:tr w14:paraId="01FC6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65D546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53</w:t>
            </w:r>
          </w:p>
        </w:tc>
        <w:tc>
          <w:tcPr>
            <w:tcW w:w="1417" w:type="pct"/>
            <w:shd w:val="clear" w:color="auto" w:fill="auto"/>
            <w:vAlign w:val="center"/>
          </w:tcPr>
          <w:p w14:paraId="1E3E006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立式蒸汽灭菌器</w:t>
            </w:r>
          </w:p>
        </w:tc>
        <w:tc>
          <w:tcPr>
            <w:tcW w:w="2598" w:type="pct"/>
            <w:shd w:val="clear" w:color="auto" w:fill="auto"/>
            <w:vAlign w:val="center"/>
          </w:tcPr>
          <w:p w14:paraId="7B7BBB7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966C2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830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955B89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54</w:t>
            </w:r>
          </w:p>
        </w:tc>
        <w:tc>
          <w:tcPr>
            <w:tcW w:w="1417" w:type="pct"/>
            <w:shd w:val="clear" w:color="auto" w:fill="auto"/>
            <w:vAlign w:val="center"/>
          </w:tcPr>
          <w:p w14:paraId="63D154A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实时荧光定量PCR仪</w:t>
            </w:r>
          </w:p>
        </w:tc>
        <w:tc>
          <w:tcPr>
            <w:tcW w:w="2598" w:type="pct"/>
            <w:shd w:val="clear" w:color="auto" w:fill="auto"/>
            <w:vAlign w:val="center"/>
          </w:tcPr>
          <w:p w14:paraId="5CCFDD0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00F4A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37F7F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615B9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55</w:t>
            </w:r>
          </w:p>
        </w:tc>
        <w:tc>
          <w:tcPr>
            <w:tcW w:w="1417" w:type="pct"/>
            <w:shd w:val="clear" w:color="auto" w:fill="auto"/>
            <w:vAlign w:val="center"/>
          </w:tcPr>
          <w:p w14:paraId="2C49E9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血型鉴定仪</w:t>
            </w:r>
          </w:p>
        </w:tc>
        <w:tc>
          <w:tcPr>
            <w:tcW w:w="2598" w:type="pct"/>
            <w:shd w:val="clear" w:color="auto" w:fill="auto"/>
            <w:vAlign w:val="center"/>
          </w:tcPr>
          <w:p w14:paraId="22BAC58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4DCA70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49524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D5BF2B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56</w:t>
            </w:r>
          </w:p>
        </w:tc>
        <w:tc>
          <w:tcPr>
            <w:tcW w:w="1417" w:type="pct"/>
            <w:shd w:val="clear" w:color="auto" w:fill="auto"/>
            <w:vAlign w:val="center"/>
          </w:tcPr>
          <w:p w14:paraId="0766DA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免疫微柱孵育器</w:t>
            </w:r>
          </w:p>
        </w:tc>
        <w:tc>
          <w:tcPr>
            <w:tcW w:w="2598" w:type="pct"/>
            <w:shd w:val="clear" w:color="auto" w:fill="auto"/>
            <w:vAlign w:val="center"/>
          </w:tcPr>
          <w:p w14:paraId="25B5F7A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5CD73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D411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D1F6D6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57</w:t>
            </w:r>
          </w:p>
        </w:tc>
        <w:tc>
          <w:tcPr>
            <w:tcW w:w="1417" w:type="pct"/>
            <w:shd w:val="clear" w:color="auto" w:fill="auto"/>
            <w:vAlign w:val="center"/>
          </w:tcPr>
          <w:p w14:paraId="6B347E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医用离心机(输血微柱卡)</w:t>
            </w:r>
          </w:p>
        </w:tc>
        <w:tc>
          <w:tcPr>
            <w:tcW w:w="2598" w:type="pct"/>
            <w:shd w:val="clear" w:color="auto" w:fill="auto"/>
            <w:vAlign w:val="center"/>
          </w:tcPr>
          <w:p w14:paraId="6E2BEE5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1C75E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F506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84BAE7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58</w:t>
            </w:r>
          </w:p>
        </w:tc>
        <w:tc>
          <w:tcPr>
            <w:tcW w:w="1417" w:type="pct"/>
            <w:shd w:val="clear" w:color="auto" w:fill="auto"/>
            <w:vAlign w:val="center"/>
          </w:tcPr>
          <w:p w14:paraId="36BABB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低速台式离心机</w:t>
            </w:r>
          </w:p>
        </w:tc>
        <w:tc>
          <w:tcPr>
            <w:tcW w:w="2598" w:type="pct"/>
            <w:shd w:val="clear" w:color="auto" w:fill="auto"/>
            <w:vAlign w:val="center"/>
          </w:tcPr>
          <w:p w14:paraId="77AE557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5544B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4990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59DDAEC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南院区检验科所需仪器设备清单</w:t>
            </w:r>
          </w:p>
        </w:tc>
      </w:tr>
      <w:tr w14:paraId="2FCD6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27871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序号</w:t>
            </w:r>
          </w:p>
        </w:tc>
        <w:tc>
          <w:tcPr>
            <w:tcW w:w="1417" w:type="pct"/>
            <w:shd w:val="clear" w:color="auto" w:fill="auto"/>
            <w:vAlign w:val="center"/>
          </w:tcPr>
          <w:p w14:paraId="27E37B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仪器设备名称</w:t>
            </w:r>
          </w:p>
        </w:tc>
        <w:tc>
          <w:tcPr>
            <w:tcW w:w="2598" w:type="pct"/>
            <w:shd w:val="clear" w:color="auto" w:fill="auto"/>
            <w:vAlign w:val="center"/>
          </w:tcPr>
          <w:p w14:paraId="71D9C8A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kern w:val="0"/>
                <w:sz w:val="24"/>
                <w:szCs w:val="24"/>
                <w:highlight w:val="none"/>
                <w:u w:val="none"/>
                <w:lang w:val="en-US" w:eastAsia="zh-CN" w:bidi="ar"/>
              </w:rPr>
              <w:t>配置说明</w:t>
            </w:r>
          </w:p>
        </w:tc>
        <w:tc>
          <w:tcPr>
            <w:tcW w:w="556" w:type="pct"/>
            <w:shd w:val="clear" w:color="auto" w:fill="auto"/>
            <w:vAlign w:val="center"/>
          </w:tcPr>
          <w:p w14:paraId="577E0E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仪器设备数量</w:t>
            </w:r>
          </w:p>
        </w:tc>
      </w:tr>
      <w:tr w14:paraId="0F073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80C013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c>
          <w:tcPr>
            <w:tcW w:w="1417" w:type="pct"/>
            <w:shd w:val="clear" w:color="auto" w:fill="auto"/>
            <w:vAlign w:val="center"/>
          </w:tcPr>
          <w:p w14:paraId="42C086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全自动有型成分分析仪+全自动尿液分析仪</w:t>
            </w:r>
          </w:p>
        </w:tc>
        <w:tc>
          <w:tcPr>
            <w:tcW w:w="2598" w:type="pct"/>
            <w:shd w:val="clear" w:color="auto" w:fill="auto"/>
            <w:vAlign w:val="center"/>
          </w:tcPr>
          <w:p w14:paraId="496B85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351F4E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B5C4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5247D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c>
          <w:tcPr>
            <w:tcW w:w="1417" w:type="pct"/>
            <w:shd w:val="clear" w:color="auto" w:fill="auto"/>
            <w:vAlign w:val="center"/>
          </w:tcPr>
          <w:p w14:paraId="21545E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全自动生化分析仪</w:t>
            </w:r>
          </w:p>
        </w:tc>
        <w:tc>
          <w:tcPr>
            <w:tcW w:w="2598" w:type="pct"/>
            <w:shd w:val="clear" w:color="auto" w:fill="auto"/>
            <w:vAlign w:val="center"/>
          </w:tcPr>
          <w:p w14:paraId="01A6274B">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r>
              <w:rPr>
                <w:rFonts w:hint="eastAsia" w:asciiTheme="minorEastAsia" w:hAnsi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3683B99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E814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6306B3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w:t>
            </w:r>
          </w:p>
        </w:tc>
        <w:tc>
          <w:tcPr>
            <w:tcW w:w="1417" w:type="pct"/>
            <w:shd w:val="clear" w:color="auto" w:fill="auto"/>
            <w:vAlign w:val="center"/>
          </w:tcPr>
          <w:p w14:paraId="016F0E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全自动糖化血红蛋白分析仪</w:t>
            </w:r>
          </w:p>
        </w:tc>
        <w:tc>
          <w:tcPr>
            <w:tcW w:w="2598" w:type="pct"/>
            <w:shd w:val="clear" w:color="auto" w:fill="auto"/>
            <w:vAlign w:val="center"/>
          </w:tcPr>
          <w:p w14:paraId="7DEC3B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074F34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9D59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FD1DB1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w:t>
            </w:r>
          </w:p>
        </w:tc>
        <w:tc>
          <w:tcPr>
            <w:tcW w:w="1417" w:type="pct"/>
            <w:shd w:val="clear" w:color="auto" w:fill="auto"/>
            <w:vAlign w:val="center"/>
          </w:tcPr>
          <w:p w14:paraId="41F115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全自动血凝分析仪</w:t>
            </w:r>
          </w:p>
        </w:tc>
        <w:tc>
          <w:tcPr>
            <w:tcW w:w="2598" w:type="pct"/>
            <w:shd w:val="clear" w:color="auto" w:fill="auto"/>
            <w:vAlign w:val="center"/>
          </w:tcPr>
          <w:p w14:paraId="63CD994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r>
              <w:rPr>
                <w:rFonts w:hint="eastAsia" w:asciiTheme="minorEastAsia" w:hAnsi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5DBF54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433A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85ADAE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w:t>
            </w:r>
          </w:p>
        </w:tc>
        <w:tc>
          <w:tcPr>
            <w:tcW w:w="1417" w:type="pct"/>
            <w:shd w:val="clear" w:color="auto" w:fill="auto"/>
            <w:vAlign w:val="center"/>
          </w:tcPr>
          <w:p w14:paraId="47BBFE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全自动血液分析仪+特定蛋白分析仪（CRP)</w:t>
            </w:r>
          </w:p>
        </w:tc>
        <w:tc>
          <w:tcPr>
            <w:tcW w:w="2598" w:type="pct"/>
            <w:shd w:val="clear" w:color="auto" w:fill="auto"/>
            <w:vAlign w:val="center"/>
          </w:tcPr>
          <w:p w14:paraId="15D737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r>
              <w:rPr>
                <w:rFonts w:hint="eastAsia" w:asciiTheme="minorEastAsia" w:hAnsi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全自动血液分析仪</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的设备的详细规格参数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33C805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2B16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0CE2D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c>
          <w:tcPr>
            <w:tcW w:w="1417" w:type="pct"/>
            <w:shd w:val="clear" w:color="auto" w:fill="auto"/>
            <w:vAlign w:val="center"/>
          </w:tcPr>
          <w:p w14:paraId="23BE960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生物安全柜</w:t>
            </w:r>
          </w:p>
        </w:tc>
        <w:tc>
          <w:tcPr>
            <w:tcW w:w="2598" w:type="pct"/>
            <w:shd w:val="clear" w:color="auto" w:fill="auto"/>
            <w:vAlign w:val="center"/>
          </w:tcPr>
          <w:p w14:paraId="4A87D80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D7212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B8FE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159998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7</w:t>
            </w:r>
          </w:p>
        </w:tc>
        <w:tc>
          <w:tcPr>
            <w:tcW w:w="1417" w:type="pct"/>
            <w:shd w:val="clear" w:color="auto" w:fill="auto"/>
            <w:vAlign w:val="center"/>
          </w:tcPr>
          <w:p w14:paraId="6F6B4B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血气分析仪</w:t>
            </w:r>
          </w:p>
        </w:tc>
        <w:tc>
          <w:tcPr>
            <w:tcW w:w="2598" w:type="pct"/>
            <w:shd w:val="clear" w:color="auto" w:fill="auto"/>
            <w:vAlign w:val="center"/>
          </w:tcPr>
          <w:p w14:paraId="57EF76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3A87D1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1C11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1CD28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w:t>
            </w:r>
          </w:p>
        </w:tc>
        <w:tc>
          <w:tcPr>
            <w:tcW w:w="1417" w:type="pct"/>
            <w:shd w:val="clear" w:color="auto" w:fill="auto"/>
            <w:vAlign w:val="center"/>
          </w:tcPr>
          <w:p w14:paraId="1156D3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离心机</w:t>
            </w:r>
          </w:p>
        </w:tc>
        <w:tc>
          <w:tcPr>
            <w:tcW w:w="2598" w:type="pct"/>
            <w:shd w:val="clear" w:color="auto" w:fill="auto"/>
            <w:vAlign w:val="center"/>
          </w:tcPr>
          <w:p w14:paraId="3722457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411952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2台</w:t>
            </w:r>
          </w:p>
        </w:tc>
      </w:tr>
      <w:tr w14:paraId="03F18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89727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w:t>
            </w:r>
          </w:p>
        </w:tc>
        <w:tc>
          <w:tcPr>
            <w:tcW w:w="1417" w:type="pct"/>
            <w:shd w:val="clear" w:color="auto" w:fill="auto"/>
            <w:vAlign w:val="center"/>
          </w:tcPr>
          <w:p w14:paraId="711F6A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立式灭菌器</w:t>
            </w:r>
          </w:p>
        </w:tc>
        <w:tc>
          <w:tcPr>
            <w:tcW w:w="2598" w:type="pct"/>
            <w:shd w:val="clear" w:color="auto" w:fill="auto"/>
            <w:vAlign w:val="center"/>
          </w:tcPr>
          <w:p w14:paraId="12F22F8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AAE726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574A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CEDDB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w:t>
            </w:r>
          </w:p>
        </w:tc>
        <w:tc>
          <w:tcPr>
            <w:tcW w:w="1417" w:type="pct"/>
            <w:shd w:val="clear" w:color="auto" w:fill="auto"/>
            <w:vAlign w:val="center"/>
          </w:tcPr>
          <w:p w14:paraId="3D569A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免疫微柱孵育器</w:t>
            </w:r>
          </w:p>
        </w:tc>
        <w:tc>
          <w:tcPr>
            <w:tcW w:w="2598" w:type="pct"/>
            <w:shd w:val="clear" w:color="auto" w:fill="auto"/>
            <w:vAlign w:val="center"/>
          </w:tcPr>
          <w:p w14:paraId="3E87AF2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CFB44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9496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A8DBBB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11</w:t>
            </w:r>
          </w:p>
        </w:tc>
        <w:tc>
          <w:tcPr>
            <w:tcW w:w="1417" w:type="pct"/>
            <w:shd w:val="clear" w:color="auto" w:fill="auto"/>
            <w:vAlign w:val="center"/>
          </w:tcPr>
          <w:p w14:paraId="3679D8C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医用离心机(输血微柱卡)</w:t>
            </w:r>
          </w:p>
        </w:tc>
        <w:tc>
          <w:tcPr>
            <w:tcW w:w="2598" w:type="pct"/>
            <w:shd w:val="clear" w:color="auto" w:fill="auto"/>
            <w:vAlign w:val="center"/>
          </w:tcPr>
          <w:p w14:paraId="1EDBEDC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55709D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63B4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6903B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12</w:t>
            </w:r>
          </w:p>
        </w:tc>
        <w:tc>
          <w:tcPr>
            <w:tcW w:w="1417" w:type="pct"/>
            <w:shd w:val="clear" w:color="auto" w:fill="auto"/>
            <w:vAlign w:val="center"/>
          </w:tcPr>
          <w:p w14:paraId="33642B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电热恒温箱(培养箱)</w:t>
            </w:r>
          </w:p>
        </w:tc>
        <w:tc>
          <w:tcPr>
            <w:tcW w:w="2598" w:type="pct"/>
            <w:shd w:val="clear" w:color="auto" w:fill="auto"/>
            <w:vAlign w:val="center"/>
          </w:tcPr>
          <w:p w14:paraId="3B501BE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FD1CE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46A86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83A1E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13</w:t>
            </w:r>
          </w:p>
        </w:tc>
        <w:tc>
          <w:tcPr>
            <w:tcW w:w="1417" w:type="pct"/>
            <w:shd w:val="clear" w:color="auto" w:fill="auto"/>
            <w:vAlign w:val="center"/>
          </w:tcPr>
          <w:p w14:paraId="3C5E52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免疫微柱孵育器</w:t>
            </w:r>
          </w:p>
        </w:tc>
        <w:tc>
          <w:tcPr>
            <w:tcW w:w="2598" w:type="pct"/>
            <w:shd w:val="clear" w:color="auto" w:fill="auto"/>
            <w:vAlign w:val="center"/>
          </w:tcPr>
          <w:p w14:paraId="152DED4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F50AB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088E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8BEFE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14</w:t>
            </w:r>
          </w:p>
        </w:tc>
        <w:tc>
          <w:tcPr>
            <w:tcW w:w="1417" w:type="pct"/>
            <w:shd w:val="clear" w:color="auto" w:fill="auto"/>
            <w:vAlign w:val="center"/>
          </w:tcPr>
          <w:p w14:paraId="331DF28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数显电热恒温箱</w:t>
            </w:r>
          </w:p>
        </w:tc>
        <w:tc>
          <w:tcPr>
            <w:tcW w:w="2598" w:type="pct"/>
            <w:shd w:val="clear" w:color="auto" w:fill="auto"/>
            <w:vAlign w:val="center"/>
          </w:tcPr>
          <w:p w14:paraId="7BFDE17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2F148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EEB6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3604A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w:t>
            </w:r>
          </w:p>
        </w:tc>
        <w:tc>
          <w:tcPr>
            <w:tcW w:w="1417" w:type="pct"/>
            <w:shd w:val="clear" w:color="auto" w:fill="auto"/>
            <w:vAlign w:val="center"/>
          </w:tcPr>
          <w:p w14:paraId="399EE93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血沉仪</w:t>
            </w:r>
          </w:p>
        </w:tc>
        <w:tc>
          <w:tcPr>
            <w:tcW w:w="2598" w:type="pct"/>
            <w:shd w:val="clear" w:color="auto" w:fill="auto"/>
            <w:vAlign w:val="center"/>
          </w:tcPr>
          <w:p w14:paraId="44F8B53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600E2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564C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0D80B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c>
          <w:tcPr>
            <w:tcW w:w="1417" w:type="pct"/>
            <w:shd w:val="clear" w:color="auto" w:fill="auto"/>
            <w:vAlign w:val="center"/>
          </w:tcPr>
          <w:p w14:paraId="25A2C03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电解质分析仪</w:t>
            </w:r>
          </w:p>
        </w:tc>
        <w:tc>
          <w:tcPr>
            <w:tcW w:w="2598" w:type="pct"/>
            <w:shd w:val="clear" w:color="auto" w:fill="auto"/>
            <w:vAlign w:val="center"/>
          </w:tcPr>
          <w:p w14:paraId="0368AD6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F659F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EC4E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93EDB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17</w:t>
            </w:r>
          </w:p>
        </w:tc>
        <w:tc>
          <w:tcPr>
            <w:tcW w:w="1417" w:type="pct"/>
            <w:shd w:val="clear" w:color="auto" w:fill="auto"/>
            <w:vAlign w:val="center"/>
          </w:tcPr>
          <w:p w14:paraId="5773FC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全自动荧光免疫分析仪</w:t>
            </w:r>
          </w:p>
        </w:tc>
        <w:tc>
          <w:tcPr>
            <w:tcW w:w="2598" w:type="pct"/>
            <w:shd w:val="clear" w:color="auto" w:fill="auto"/>
            <w:vAlign w:val="center"/>
          </w:tcPr>
          <w:p w14:paraId="264862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1294C0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54806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1FC9E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18</w:t>
            </w:r>
          </w:p>
        </w:tc>
        <w:tc>
          <w:tcPr>
            <w:tcW w:w="1417" w:type="pct"/>
            <w:shd w:val="clear" w:color="auto" w:fill="auto"/>
            <w:vAlign w:val="center"/>
          </w:tcPr>
          <w:p w14:paraId="4BA624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全自动血型分析仪</w:t>
            </w:r>
          </w:p>
        </w:tc>
        <w:tc>
          <w:tcPr>
            <w:tcW w:w="2598" w:type="pct"/>
            <w:shd w:val="clear" w:color="auto" w:fill="auto"/>
            <w:vAlign w:val="center"/>
          </w:tcPr>
          <w:p w14:paraId="6CE0E60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D2D01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AD5D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1F9034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19</w:t>
            </w:r>
          </w:p>
        </w:tc>
        <w:tc>
          <w:tcPr>
            <w:tcW w:w="1417" w:type="pct"/>
            <w:shd w:val="clear" w:color="auto" w:fill="auto"/>
            <w:vAlign w:val="center"/>
          </w:tcPr>
          <w:p w14:paraId="474E80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医用储血冰箱（输血）</w:t>
            </w:r>
          </w:p>
        </w:tc>
        <w:tc>
          <w:tcPr>
            <w:tcW w:w="2598" w:type="pct"/>
            <w:shd w:val="clear" w:color="auto" w:fill="auto"/>
            <w:vAlign w:val="center"/>
          </w:tcPr>
          <w:p w14:paraId="57786B7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AF63DA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0CF0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B5869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20</w:t>
            </w:r>
          </w:p>
        </w:tc>
        <w:tc>
          <w:tcPr>
            <w:tcW w:w="1417" w:type="pct"/>
            <w:shd w:val="clear" w:color="auto" w:fill="auto"/>
            <w:vAlign w:val="center"/>
          </w:tcPr>
          <w:p w14:paraId="1E8862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水浴恒温箱</w:t>
            </w:r>
          </w:p>
        </w:tc>
        <w:tc>
          <w:tcPr>
            <w:tcW w:w="2598" w:type="pct"/>
            <w:shd w:val="clear" w:color="auto" w:fill="auto"/>
            <w:vAlign w:val="center"/>
          </w:tcPr>
          <w:p w14:paraId="5C8BD98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BFE51B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0B9D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68FA5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21</w:t>
            </w:r>
          </w:p>
        </w:tc>
        <w:tc>
          <w:tcPr>
            <w:tcW w:w="1417" w:type="pct"/>
            <w:shd w:val="clear" w:color="auto" w:fill="auto"/>
            <w:vAlign w:val="center"/>
          </w:tcPr>
          <w:p w14:paraId="0C85EC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低速台式离心机（输血）</w:t>
            </w:r>
          </w:p>
        </w:tc>
        <w:tc>
          <w:tcPr>
            <w:tcW w:w="2598" w:type="pct"/>
            <w:shd w:val="clear" w:color="auto" w:fill="auto"/>
            <w:vAlign w:val="center"/>
          </w:tcPr>
          <w:p w14:paraId="7898081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D022B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87E8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F8942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22</w:t>
            </w:r>
          </w:p>
        </w:tc>
        <w:tc>
          <w:tcPr>
            <w:tcW w:w="1417" w:type="pct"/>
            <w:shd w:val="clear" w:color="auto" w:fill="auto"/>
            <w:vAlign w:val="center"/>
          </w:tcPr>
          <w:p w14:paraId="52AA50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全自动化学发光分析仪（POCT）</w:t>
            </w:r>
          </w:p>
        </w:tc>
        <w:tc>
          <w:tcPr>
            <w:tcW w:w="2598" w:type="pct"/>
            <w:shd w:val="clear" w:color="auto" w:fill="auto"/>
            <w:vAlign w:val="center"/>
          </w:tcPr>
          <w:p w14:paraId="621C79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210D9F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EF26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21509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23</w:t>
            </w:r>
          </w:p>
        </w:tc>
        <w:tc>
          <w:tcPr>
            <w:tcW w:w="1417" w:type="pct"/>
            <w:shd w:val="clear" w:color="auto" w:fill="auto"/>
            <w:vAlign w:val="center"/>
          </w:tcPr>
          <w:p w14:paraId="15B8F8D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移液器</w:t>
            </w:r>
          </w:p>
        </w:tc>
        <w:tc>
          <w:tcPr>
            <w:tcW w:w="2598" w:type="pct"/>
            <w:shd w:val="clear" w:color="auto" w:fill="auto"/>
            <w:vAlign w:val="center"/>
          </w:tcPr>
          <w:p w14:paraId="1F4E4D9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1450A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56964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8383E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24</w:t>
            </w:r>
          </w:p>
        </w:tc>
        <w:tc>
          <w:tcPr>
            <w:tcW w:w="1417" w:type="pct"/>
            <w:shd w:val="clear" w:color="auto" w:fill="auto"/>
            <w:vAlign w:val="center"/>
          </w:tcPr>
          <w:p w14:paraId="09DC538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4度医用冰箱</w:t>
            </w:r>
          </w:p>
        </w:tc>
        <w:tc>
          <w:tcPr>
            <w:tcW w:w="2598" w:type="pct"/>
            <w:shd w:val="clear" w:color="auto" w:fill="auto"/>
            <w:vAlign w:val="center"/>
          </w:tcPr>
          <w:p w14:paraId="3F07AF6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B91159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49535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31B773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25</w:t>
            </w:r>
          </w:p>
        </w:tc>
        <w:tc>
          <w:tcPr>
            <w:tcW w:w="1417" w:type="pct"/>
            <w:shd w:val="clear" w:color="auto" w:fill="auto"/>
            <w:vAlign w:val="center"/>
          </w:tcPr>
          <w:p w14:paraId="5A3ACA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负20度冰箱 </w:t>
            </w:r>
          </w:p>
        </w:tc>
        <w:tc>
          <w:tcPr>
            <w:tcW w:w="2598" w:type="pct"/>
            <w:shd w:val="clear" w:color="auto" w:fill="auto"/>
            <w:vAlign w:val="center"/>
          </w:tcPr>
          <w:p w14:paraId="2610E4E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0C18EA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1A415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86F125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26</w:t>
            </w:r>
          </w:p>
        </w:tc>
        <w:tc>
          <w:tcPr>
            <w:tcW w:w="1417" w:type="pct"/>
            <w:shd w:val="clear" w:color="auto" w:fill="auto"/>
            <w:vAlign w:val="center"/>
          </w:tcPr>
          <w:p w14:paraId="39806D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负80度冰箱 </w:t>
            </w:r>
          </w:p>
        </w:tc>
        <w:tc>
          <w:tcPr>
            <w:tcW w:w="2598" w:type="pct"/>
            <w:shd w:val="clear" w:color="auto" w:fill="auto"/>
            <w:vAlign w:val="center"/>
          </w:tcPr>
          <w:p w14:paraId="565395E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CA978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353EC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789B63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北院区检验科所需仪器设备清单</w:t>
            </w:r>
          </w:p>
        </w:tc>
      </w:tr>
      <w:tr w14:paraId="4505C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7F36FA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序号</w:t>
            </w:r>
          </w:p>
        </w:tc>
        <w:tc>
          <w:tcPr>
            <w:tcW w:w="1417" w:type="pct"/>
            <w:shd w:val="clear" w:color="auto" w:fill="auto"/>
            <w:vAlign w:val="center"/>
          </w:tcPr>
          <w:p w14:paraId="5707CC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仪器设备名称</w:t>
            </w:r>
          </w:p>
        </w:tc>
        <w:tc>
          <w:tcPr>
            <w:tcW w:w="2598" w:type="pct"/>
            <w:shd w:val="clear" w:color="auto" w:fill="auto"/>
            <w:vAlign w:val="center"/>
          </w:tcPr>
          <w:p w14:paraId="7F5F34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kern w:val="0"/>
                <w:sz w:val="24"/>
                <w:szCs w:val="24"/>
                <w:highlight w:val="none"/>
                <w:u w:val="none"/>
                <w:lang w:val="en-US" w:eastAsia="zh-CN" w:bidi="ar"/>
              </w:rPr>
              <w:t>配置说明</w:t>
            </w:r>
          </w:p>
        </w:tc>
        <w:tc>
          <w:tcPr>
            <w:tcW w:w="556" w:type="pct"/>
            <w:shd w:val="clear" w:color="auto" w:fill="auto"/>
            <w:vAlign w:val="center"/>
          </w:tcPr>
          <w:p w14:paraId="0DA3B0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仪器设备数量</w:t>
            </w:r>
          </w:p>
        </w:tc>
      </w:tr>
      <w:tr w14:paraId="7A22E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3F1E52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c>
          <w:tcPr>
            <w:tcW w:w="1417" w:type="pct"/>
            <w:shd w:val="clear" w:color="auto" w:fill="auto"/>
            <w:vAlign w:val="center"/>
          </w:tcPr>
          <w:p w14:paraId="5E035EF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全自动有型成分分析仪+全自动尿液分析仪</w:t>
            </w:r>
          </w:p>
        </w:tc>
        <w:tc>
          <w:tcPr>
            <w:tcW w:w="2598" w:type="pct"/>
            <w:shd w:val="clear" w:color="auto" w:fill="auto"/>
            <w:vAlign w:val="center"/>
          </w:tcPr>
          <w:p w14:paraId="389FCC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79F7CA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D650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670DFF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c>
          <w:tcPr>
            <w:tcW w:w="1417" w:type="pct"/>
            <w:shd w:val="clear" w:color="auto" w:fill="auto"/>
            <w:vAlign w:val="center"/>
          </w:tcPr>
          <w:p w14:paraId="433FA5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半自动尿液分析仪</w:t>
            </w:r>
          </w:p>
        </w:tc>
        <w:tc>
          <w:tcPr>
            <w:tcW w:w="2598" w:type="pct"/>
            <w:shd w:val="clear" w:color="auto" w:fill="auto"/>
            <w:vAlign w:val="center"/>
          </w:tcPr>
          <w:p w14:paraId="7EDC33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09EBFA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DD3B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78D07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w:t>
            </w:r>
          </w:p>
        </w:tc>
        <w:tc>
          <w:tcPr>
            <w:tcW w:w="1417" w:type="pct"/>
            <w:shd w:val="clear" w:color="auto" w:fill="auto"/>
            <w:vAlign w:val="center"/>
          </w:tcPr>
          <w:p w14:paraId="20554B2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全自动生化分析仪</w:t>
            </w:r>
          </w:p>
        </w:tc>
        <w:tc>
          <w:tcPr>
            <w:tcW w:w="2598" w:type="pct"/>
            <w:shd w:val="clear" w:color="auto" w:fill="auto"/>
            <w:vAlign w:val="center"/>
          </w:tcPr>
          <w:p w14:paraId="1218A8F3">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r>
              <w:rPr>
                <w:rFonts w:hint="eastAsia" w:asciiTheme="minorEastAsia" w:hAnsi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134E14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6BCB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2FB80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w:t>
            </w:r>
          </w:p>
        </w:tc>
        <w:tc>
          <w:tcPr>
            <w:tcW w:w="1417" w:type="pct"/>
            <w:shd w:val="clear" w:color="auto" w:fill="auto"/>
            <w:vAlign w:val="center"/>
          </w:tcPr>
          <w:p w14:paraId="728B84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全自动糖化血红蛋白分析仪</w:t>
            </w:r>
          </w:p>
        </w:tc>
        <w:tc>
          <w:tcPr>
            <w:tcW w:w="2598" w:type="pct"/>
            <w:shd w:val="clear" w:color="auto" w:fill="auto"/>
            <w:vAlign w:val="center"/>
          </w:tcPr>
          <w:p w14:paraId="71C2E3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638544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491E1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51AF16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w:t>
            </w:r>
          </w:p>
        </w:tc>
        <w:tc>
          <w:tcPr>
            <w:tcW w:w="1417" w:type="pct"/>
            <w:shd w:val="clear" w:color="auto" w:fill="auto"/>
            <w:vAlign w:val="center"/>
          </w:tcPr>
          <w:p w14:paraId="58D560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全自动血凝分析仪</w:t>
            </w:r>
          </w:p>
        </w:tc>
        <w:tc>
          <w:tcPr>
            <w:tcW w:w="2598" w:type="pct"/>
            <w:shd w:val="clear" w:color="auto" w:fill="auto"/>
            <w:vAlign w:val="center"/>
          </w:tcPr>
          <w:p w14:paraId="279BC8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r>
              <w:rPr>
                <w:rFonts w:hint="eastAsia" w:asciiTheme="minorEastAsia" w:hAnsi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5CE640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081C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72623B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c>
          <w:tcPr>
            <w:tcW w:w="1417" w:type="pct"/>
            <w:shd w:val="clear" w:color="auto" w:fill="auto"/>
            <w:vAlign w:val="center"/>
          </w:tcPr>
          <w:p w14:paraId="6678BCD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全自动血液分析仪+特定蛋白分析仪（CRP)</w:t>
            </w:r>
          </w:p>
        </w:tc>
        <w:tc>
          <w:tcPr>
            <w:tcW w:w="2598" w:type="pct"/>
            <w:shd w:val="clear" w:color="auto" w:fill="auto"/>
            <w:vAlign w:val="center"/>
          </w:tcPr>
          <w:p w14:paraId="23EC36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r>
              <w:rPr>
                <w:rFonts w:hint="eastAsia" w:asciiTheme="minorEastAsia" w:hAnsi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全自动血液分析仪</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56" w:type="pct"/>
            <w:shd w:val="clear" w:color="auto" w:fill="auto"/>
            <w:vAlign w:val="center"/>
          </w:tcPr>
          <w:p w14:paraId="1A0B25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7C13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0B0B32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7</w:t>
            </w:r>
          </w:p>
        </w:tc>
        <w:tc>
          <w:tcPr>
            <w:tcW w:w="1417" w:type="pct"/>
            <w:shd w:val="clear" w:color="auto" w:fill="auto"/>
            <w:vAlign w:val="center"/>
          </w:tcPr>
          <w:p w14:paraId="7858543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生物安全柜</w:t>
            </w:r>
          </w:p>
        </w:tc>
        <w:tc>
          <w:tcPr>
            <w:tcW w:w="2598" w:type="pct"/>
            <w:shd w:val="clear" w:color="auto" w:fill="auto"/>
            <w:vAlign w:val="center"/>
          </w:tcPr>
          <w:p w14:paraId="322FDDB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b/>
                <w:bCs/>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D3F45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6DFB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1367E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w:t>
            </w:r>
          </w:p>
        </w:tc>
        <w:tc>
          <w:tcPr>
            <w:tcW w:w="1417" w:type="pct"/>
            <w:shd w:val="clear" w:color="auto" w:fill="auto"/>
            <w:vAlign w:val="center"/>
          </w:tcPr>
          <w:p w14:paraId="0235DB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血气分析仪</w:t>
            </w:r>
          </w:p>
        </w:tc>
        <w:tc>
          <w:tcPr>
            <w:tcW w:w="2598" w:type="pct"/>
            <w:shd w:val="clear" w:color="auto" w:fill="auto"/>
            <w:vAlign w:val="center"/>
          </w:tcPr>
          <w:p w14:paraId="518DCD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3F89F2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8E45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77C77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w:t>
            </w:r>
          </w:p>
        </w:tc>
        <w:tc>
          <w:tcPr>
            <w:tcW w:w="1417" w:type="pct"/>
            <w:shd w:val="clear" w:color="auto" w:fill="auto"/>
            <w:vAlign w:val="center"/>
          </w:tcPr>
          <w:p w14:paraId="630B3D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离心机</w:t>
            </w:r>
          </w:p>
        </w:tc>
        <w:tc>
          <w:tcPr>
            <w:tcW w:w="2598" w:type="pct"/>
            <w:shd w:val="clear" w:color="auto" w:fill="auto"/>
            <w:vAlign w:val="center"/>
          </w:tcPr>
          <w:p w14:paraId="14B177E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D2E2E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2台</w:t>
            </w:r>
          </w:p>
        </w:tc>
      </w:tr>
      <w:tr w14:paraId="3FA6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35BE7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w:t>
            </w:r>
          </w:p>
        </w:tc>
        <w:tc>
          <w:tcPr>
            <w:tcW w:w="1417" w:type="pct"/>
            <w:shd w:val="clear" w:color="auto" w:fill="auto"/>
            <w:vAlign w:val="center"/>
          </w:tcPr>
          <w:p w14:paraId="017C71E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立式灭菌器</w:t>
            </w:r>
          </w:p>
        </w:tc>
        <w:tc>
          <w:tcPr>
            <w:tcW w:w="2598" w:type="pct"/>
            <w:shd w:val="clear" w:color="auto" w:fill="auto"/>
            <w:vAlign w:val="center"/>
          </w:tcPr>
          <w:p w14:paraId="7D960B5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B459C3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99DB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DD81F3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11</w:t>
            </w:r>
          </w:p>
        </w:tc>
        <w:tc>
          <w:tcPr>
            <w:tcW w:w="1417" w:type="pct"/>
            <w:shd w:val="clear" w:color="auto" w:fill="auto"/>
            <w:vAlign w:val="center"/>
          </w:tcPr>
          <w:p w14:paraId="1479C4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培养箱</w:t>
            </w:r>
          </w:p>
        </w:tc>
        <w:tc>
          <w:tcPr>
            <w:tcW w:w="2598" w:type="pct"/>
            <w:shd w:val="clear" w:color="auto" w:fill="auto"/>
            <w:vAlign w:val="center"/>
          </w:tcPr>
          <w:p w14:paraId="7C9AACE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A2504B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6F29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03288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12</w:t>
            </w:r>
          </w:p>
        </w:tc>
        <w:tc>
          <w:tcPr>
            <w:tcW w:w="1417" w:type="pct"/>
            <w:shd w:val="clear" w:color="auto" w:fill="auto"/>
            <w:vAlign w:val="center"/>
          </w:tcPr>
          <w:p w14:paraId="6F59F8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免疫微柱孵育器</w:t>
            </w:r>
          </w:p>
        </w:tc>
        <w:tc>
          <w:tcPr>
            <w:tcW w:w="2598" w:type="pct"/>
            <w:shd w:val="clear" w:color="auto" w:fill="auto"/>
            <w:vAlign w:val="center"/>
          </w:tcPr>
          <w:p w14:paraId="214EE50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FF4FF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E8FD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63532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13</w:t>
            </w:r>
          </w:p>
        </w:tc>
        <w:tc>
          <w:tcPr>
            <w:tcW w:w="1417" w:type="pct"/>
            <w:shd w:val="clear" w:color="auto" w:fill="auto"/>
            <w:vAlign w:val="center"/>
          </w:tcPr>
          <w:p w14:paraId="7C5F41D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医用离心机(输血微柱卡)</w:t>
            </w:r>
          </w:p>
        </w:tc>
        <w:tc>
          <w:tcPr>
            <w:tcW w:w="2598" w:type="pct"/>
            <w:shd w:val="clear" w:color="auto" w:fill="auto"/>
            <w:vAlign w:val="center"/>
          </w:tcPr>
          <w:p w14:paraId="7F9B5D4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2D46E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6688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A2E8C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14</w:t>
            </w:r>
          </w:p>
        </w:tc>
        <w:tc>
          <w:tcPr>
            <w:tcW w:w="1417" w:type="pct"/>
            <w:shd w:val="clear" w:color="auto" w:fill="auto"/>
            <w:vAlign w:val="center"/>
          </w:tcPr>
          <w:p w14:paraId="54CC7B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隔水式恒温培养箱</w:t>
            </w:r>
          </w:p>
        </w:tc>
        <w:tc>
          <w:tcPr>
            <w:tcW w:w="2598" w:type="pct"/>
            <w:shd w:val="clear" w:color="auto" w:fill="auto"/>
            <w:vAlign w:val="center"/>
          </w:tcPr>
          <w:p w14:paraId="77D4CAB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C94BA1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70F9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75EC6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w:t>
            </w:r>
          </w:p>
        </w:tc>
        <w:tc>
          <w:tcPr>
            <w:tcW w:w="1417" w:type="pct"/>
            <w:shd w:val="clear" w:color="auto" w:fill="auto"/>
            <w:vAlign w:val="center"/>
          </w:tcPr>
          <w:p w14:paraId="550A5CB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免疫微柱孵育器</w:t>
            </w:r>
          </w:p>
        </w:tc>
        <w:tc>
          <w:tcPr>
            <w:tcW w:w="2598" w:type="pct"/>
            <w:shd w:val="clear" w:color="auto" w:fill="auto"/>
            <w:vAlign w:val="center"/>
          </w:tcPr>
          <w:p w14:paraId="23550C5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A8C35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3A10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BC19D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c>
          <w:tcPr>
            <w:tcW w:w="1417" w:type="pct"/>
            <w:shd w:val="clear" w:color="auto" w:fill="auto"/>
            <w:vAlign w:val="center"/>
          </w:tcPr>
          <w:p w14:paraId="25FD07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低速台式离心机(输血用)</w:t>
            </w:r>
          </w:p>
        </w:tc>
        <w:tc>
          <w:tcPr>
            <w:tcW w:w="2598" w:type="pct"/>
            <w:shd w:val="clear" w:color="auto" w:fill="auto"/>
            <w:vAlign w:val="center"/>
          </w:tcPr>
          <w:p w14:paraId="4F3733F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DC1A1C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47201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189AD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17</w:t>
            </w:r>
          </w:p>
        </w:tc>
        <w:tc>
          <w:tcPr>
            <w:tcW w:w="1417" w:type="pct"/>
            <w:shd w:val="clear" w:color="auto" w:fill="auto"/>
            <w:vAlign w:val="center"/>
          </w:tcPr>
          <w:p w14:paraId="7F44D3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数显电热恒温箱</w:t>
            </w:r>
          </w:p>
        </w:tc>
        <w:tc>
          <w:tcPr>
            <w:tcW w:w="2598" w:type="pct"/>
            <w:shd w:val="clear" w:color="auto" w:fill="auto"/>
            <w:vAlign w:val="center"/>
          </w:tcPr>
          <w:p w14:paraId="0D046EF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BDF57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61810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17EE0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18</w:t>
            </w:r>
          </w:p>
        </w:tc>
        <w:tc>
          <w:tcPr>
            <w:tcW w:w="1417" w:type="pct"/>
            <w:shd w:val="clear" w:color="auto" w:fill="auto"/>
            <w:vAlign w:val="center"/>
          </w:tcPr>
          <w:p w14:paraId="0314D8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血沉仪</w:t>
            </w:r>
          </w:p>
        </w:tc>
        <w:tc>
          <w:tcPr>
            <w:tcW w:w="2598" w:type="pct"/>
            <w:shd w:val="clear" w:color="auto" w:fill="auto"/>
            <w:vAlign w:val="center"/>
          </w:tcPr>
          <w:p w14:paraId="20712F0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40782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FD70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71B25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19</w:t>
            </w:r>
          </w:p>
        </w:tc>
        <w:tc>
          <w:tcPr>
            <w:tcW w:w="1417" w:type="pct"/>
            <w:shd w:val="clear" w:color="auto" w:fill="auto"/>
            <w:vAlign w:val="center"/>
          </w:tcPr>
          <w:p w14:paraId="4358F4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电解质分析仪</w:t>
            </w:r>
          </w:p>
        </w:tc>
        <w:tc>
          <w:tcPr>
            <w:tcW w:w="2598" w:type="pct"/>
            <w:shd w:val="clear" w:color="auto" w:fill="auto"/>
            <w:vAlign w:val="center"/>
          </w:tcPr>
          <w:p w14:paraId="7C45F2C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FD4B04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33121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6D8FB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20</w:t>
            </w:r>
          </w:p>
        </w:tc>
        <w:tc>
          <w:tcPr>
            <w:tcW w:w="1417" w:type="pct"/>
            <w:shd w:val="clear" w:color="auto" w:fill="auto"/>
            <w:vAlign w:val="center"/>
          </w:tcPr>
          <w:p w14:paraId="39C3502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全自动荧光免疫分析仪</w:t>
            </w:r>
          </w:p>
        </w:tc>
        <w:tc>
          <w:tcPr>
            <w:tcW w:w="2598" w:type="pct"/>
            <w:shd w:val="clear" w:color="auto" w:fill="auto"/>
            <w:vAlign w:val="center"/>
          </w:tcPr>
          <w:p w14:paraId="03F82C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2452B55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7A57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351483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21</w:t>
            </w:r>
          </w:p>
        </w:tc>
        <w:tc>
          <w:tcPr>
            <w:tcW w:w="1417" w:type="pct"/>
            <w:shd w:val="clear" w:color="auto" w:fill="auto"/>
            <w:vAlign w:val="center"/>
          </w:tcPr>
          <w:p w14:paraId="29682D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阴道分泌物检测仪</w:t>
            </w:r>
          </w:p>
        </w:tc>
        <w:tc>
          <w:tcPr>
            <w:tcW w:w="2598" w:type="pct"/>
            <w:shd w:val="clear" w:color="auto" w:fill="auto"/>
            <w:vAlign w:val="center"/>
          </w:tcPr>
          <w:p w14:paraId="7BB4152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01C15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23A83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897C2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22</w:t>
            </w:r>
          </w:p>
        </w:tc>
        <w:tc>
          <w:tcPr>
            <w:tcW w:w="1417" w:type="pct"/>
            <w:shd w:val="clear" w:color="auto" w:fill="auto"/>
            <w:vAlign w:val="center"/>
          </w:tcPr>
          <w:p w14:paraId="308945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全自动血型分析仪</w:t>
            </w:r>
          </w:p>
        </w:tc>
        <w:tc>
          <w:tcPr>
            <w:tcW w:w="2598" w:type="pct"/>
            <w:shd w:val="clear" w:color="auto" w:fill="auto"/>
            <w:vAlign w:val="center"/>
          </w:tcPr>
          <w:p w14:paraId="5ED59EA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51766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5D193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132B2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23</w:t>
            </w:r>
          </w:p>
        </w:tc>
        <w:tc>
          <w:tcPr>
            <w:tcW w:w="1417" w:type="pct"/>
            <w:shd w:val="clear" w:color="auto" w:fill="auto"/>
            <w:vAlign w:val="center"/>
          </w:tcPr>
          <w:p w14:paraId="693164B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全自动毛细管电泳仪</w:t>
            </w:r>
          </w:p>
        </w:tc>
        <w:tc>
          <w:tcPr>
            <w:tcW w:w="2598" w:type="pct"/>
            <w:shd w:val="clear" w:color="auto" w:fill="auto"/>
            <w:vAlign w:val="center"/>
          </w:tcPr>
          <w:p w14:paraId="1A8DDF6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CF899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7B72C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C5E26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24</w:t>
            </w:r>
          </w:p>
        </w:tc>
        <w:tc>
          <w:tcPr>
            <w:tcW w:w="1417" w:type="pct"/>
            <w:shd w:val="clear" w:color="auto" w:fill="auto"/>
            <w:vAlign w:val="center"/>
          </w:tcPr>
          <w:p w14:paraId="12F616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水平旋转摇床</w:t>
            </w:r>
          </w:p>
        </w:tc>
        <w:tc>
          <w:tcPr>
            <w:tcW w:w="2598" w:type="pct"/>
            <w:shd w:val="clear" w:color="auto" w:fill="auto"/>
            <w:vAlign w:val="center"/>
          </w:tcPr>
          <w:p w14:paraId="389F03B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3171E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4A1D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CF6CC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25</w:t>
            </w:r>
          </w:p>
        </w:tc>
        <w:tc>
          <w:tcPr>
            <w:tcW w:w="1417" w:type="pct"/>
            <w:shd w:val="clear" w:color="auto" w:fill="auto"/>
            <w:vAlign w:val="center"/>
          </w:tcPr>
          <w:p w14:paraId="3EA522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全自动化学发光分析仪（POCT）</w:t>
            </w:r>
          </w:p>
        </w:tc>
        <w:tc>
          <w:tcPr>
            <w:tcW w:w="2598" w:type="pct"/>
            <w:shd w:val="clear" w:color="auto" w:fill="auto"/>
            <w:vAlign w:val="center"/>
          </w:tcPr>
          <w:p w14:paraId="23EB6F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6B776E1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461CD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7A1C1E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26</w:t>
            </w:r>
          </w:p>
        </w:tc>
        <w:tc>
          <w:tcPr>
            <w:tcW w:w="1417" w:type="pct"/>
            <w:shd w:val="clear" w:color="auto" w:fill="auto"/>
            <w:vAlign w:val="center"/>
          </w:tcPr>
          <w:p w14:paraId="15D030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血培养仪</w:t>
            </w:r>
          </w:p>
        </w:tc>
        <w:tc>
          <w:tcPr>
            <w:tcW w:w="2598" w:type="pct"/>
            <w:shd w:val="clear" w:color="auto" w:fill="auto"/>
            <w:vAlign w:val="center"/>
          </w:tcPr>
          <w:p w14:paraId="50B026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与总院区同品牌</w:t>
            </w:r>
          </w:p>
        </w:tc>
        <w:tc>
          <w:tcPr>
            <w:tcW w:w="556" w:type="pct"/>
            <w:shd w:val="clear" w:color="auto" w:fill="auto"/>
            <w:vAlign w:val="center"/>
          </w:tcPr>
          <w:p w14:paraId="1BB5A5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1AF07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4A5E2A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27</w:t>
            </w:r>
          </w:p>
        </w:tc>
        <w:tc>
          <w:tcPr>
            <w:tcW w:w="1417" w:type="pct"/>
            <w:shd w:val="clear" w:color="auto" w:fill="auto"/>
            <w:vAlign w:val="center"/>
          </w:tcPr>
          <w:p w14:paraId="122596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生物显微镜</w:t>
            </w:r>
          </w:p>
        </w:tc>
        <w:tc>
          <w:tcPr>
            <w:tcW w:w="2598" w:type="pct"/>
            <w:shd w:val="clear" w:color="auto" w:fill="auto"/>
            <w:vAlign w:val="center"/>
          </w:tcPr>
          <w:p w14:paraId="416B040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94020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2台</w:t>
            </w:r>
          </w:p>
        </w:tc>
      </w:tr>
      <w:tr w14:paraId="38747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497F8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28</w:t>
            </w:r>
          </w:p>
        </w:tc>
        <w:tc>
          <w:tcPr>
            <w:tcW w:w="1417" w:type="pct"/>
            <w:shd w:val="clear" w:color="auto" w:fill="auto"/>
            <w:vAlign w:val="center"/>
          </w:tcPr>
          <w:p w14:paraId="4571B2E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水浴恒温箱</w:t>
            </w:r>
          </w:p>
        </w:tc>
        <w:tc>
          <w:tcPr>
            <w:tcW w:w="2598" w:type="pct"/>
            <w:shd w:val="clear" w:color="auto" w:fill="auto"/>
            <w:vAlign w:val="center"/>
          </w:tcPr>
          <w:p w14:paraId="28AF1E2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B9BF0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1台</w:t>
            </w:r>
          </w:p>
        </w:tc>
      </w:tr>
      <w:tr w14:paraId="0D2F1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EBDF66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29</w:t>
            </w:r>
          </w:p>
        </w:tc>
        <w:tc>
          <w:tcPr>
            <w:tcW w:w="1417" w:type="pct"/>
            <w:shd w:val="clear" w:color="auto" w:fill="auto"/>
            <w:vAlign w:val="center"/>
          </w:tcPr>
          <w:p w14:paraId="27819B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移液器</w:t>
            </w:r>
          </w:p>
        </w:tc>
        <w:tc>
          <w:tcPr>
            <w:tcW w:w="2598" w:type="pct"/>
            <w:shd w:val="clear" w:color="auto" w:fill="auto"/>
            <w:vAlign w:val="center"/>
          </w:tcPr>
          <w:p w14:paraId="1EB0D23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D67117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4D3A0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78B0F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30</w:t>
            </w:r>
          </w:p>
        </w:tc>
        <w:tc>
          <w:tcPr>
            <w:tcW w:w="1417" w:type="pct"/>
            <w:shd w:val="clear" w:color="auto" w:fill="auto"/>
            <w:vAlign w:val="center"/>
          </w:tcPr>
          <w:p w14:paraId="305C7C3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4度医用冰箱</w:t>
            </w:r>
          </w:p>
        </w:tc>
        <w:tc>
          <w:tcPr>
            <w:tcW w:w="2598" w:type="pct"/>
            <w:shd w:val="clear" w:color="auto" w:fill="auto"/>
            <w:vAlign w:val="center"/>
          </w:tcPr>
          <w:p w14:paraId="61772E5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CF5EF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662C3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FC9FB7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31</w:t>
            </w:r>
          </w:p>
        </w:tc>
        <w:tc>
          <w:tcPr>
            <w:tcW w:w="1417" w:type="pct"/>
            <w:shd w:val="clear" w:color="auto" w:fill="auto"/>
            <w:vAlign w:val="center"/>
          </w:tcPr>
          <w:p w14:paraId="7048CB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负20度冰箱 </w:t>
            </w:r>
          </w:p>
        </w:tc>
        <w:tc>
          <w:tcPr>
            <w:tcW w:w="2598" w:type="pct"/>
            <w:shd w:val="clear" w:color="auto" w:fill="auto"/>
            <w:vAlign w:val="center"/>
          </w:tcPr>
          <w:p w14:paraId="3A967FC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799D2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41B9E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7B0AD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32</w:t>
            </w:r>
          </w:p>
        </w:tc>
        <w:tc>
          <w:tcPr>
            <w:tcW w:w="1417" w:type="pct"/>
            <w:shd w:val="clear" w:color="auto" w:fill="auto"/>
            <w:vAlign w:val="center"/>
          </w:tcPr>
          <w:p w14:paraId="38AB87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负80度冰箱 </w:t>
            </w:r>
          </w:p>
        </w:tc>
        <w:tc>
          <w:tcPr>
            <w:tcW w:w="2598" w:type="pct"/>
            <w:shd w:val="clear" w:color="auto" w:fill="auto"/>
            <w:vAlign w:val="center"/>
          </w:tcPr>
          <w:p w14:paraId="669B7A9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39F9D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按需</w:t>
            </w:r>
          </w:p>
        </w:tc>
      </w:tr>
      <w:tr w14:paraId="240DA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4660A2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16家乡镇卫生院</w:t>
            </w:r>
          </w:p>
        </w:tc>
      </w:tr>
      <w:tr w14:paraId="2FF7B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DD126A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序号</w:t>
            </w:r>
          </w:p>
        </w:tc>
        <w:tc>
          <w:tcPr>
            <w:tcW w:w="1417" w:type="pct"/>
            <w:shd w:val="clear" w:color="auto" w:fill="auto"/>
            <w:vAlign w:val="center"/>
          </w:tcPr>
          <w:p w14:paraId="5DA6EE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仪器设备名称</w:t>
            </w:r>
          </w:p>
        </w:tc>
        <w:tc>
          <w:tcPr>
            <w:tcW w:w="2598" w:type="pct"/>
            <w:shd w:val="clear" w:color="auto" w:fill="auto"/>
            <w:vAlign w:val="center"/>
          </w:tcPr>
          <w:p w14:paraId="3EDA05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kern w:val="0"/>
                <w:sz w:val="24"/>
                <w:szCs w:val="24"/>
                <w:highlight w:val="none"/>
                <w:u w:val="none"/>
                <w:lang w:val="en-US" w:eastAsia="zh-CN" w:bidi="ar"/>
              </w:rPr>
              <w:t>配置说明</w:t>
            </w:r>
          </w:p>
        </w:tc>
        <w:tc>
          <w:tcPr>
            <w:tcW w:w="556" w:type="pct"/>
            <w:shd w:val="clear" w:color="auto" w:fill="auto"/>
            <w:vAlign w:val="center"/>
          </w:tcPr>
          <w:p w14:paraId="6E293B0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仪器设备数量</w:t>
            </w:r>
          </w:p>
        </w:tc>
      </w:tr>
      <w:tr w14:paraId="3956C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67ADC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c>
          <w:tcPr>
            <w:tcW w:w="1417" w:type="pct"/>
            <w:shd w:val="clear" w:color="auto" w:fill="auto"/>
            <w:vAlign w:val="center"/>
          </w:tcPr>
          <w:p w14:paraId="0A448C4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全自动生化分析仪</w:t>
            </w:r>
          </w:p>
        </w:tc>
        <w:tc>
          <w:tcPr>
            <w:tcW w:w="2598" w:type="pct"/>
            <w:shd w:val="clear" w:color="auto" w:fill="auto"/>
            <w:vAlign w:val="center"/>
          </w:tcPr>
          <w:p w14:paraId="7029322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E8431B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5E222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FB221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c>
          <w:tcPr>
            <w:tcW w:w="1417" w:type="pct"/>
            <w:shd w:val="clear" w:color="auto" w:fill="auto"/>
            <w:vAlign w:val="center"/>
          </w:tcPr>
          <w:p w14:paraId="698F44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全自动五分类血液细胞分析仪+CRP</w:t>
            </w:r>
          </w:p>
        </w:tc>
        <w:tc>
          <w:tcPr>
            <w:tcW w:w="2598" w:type="pct"/>
            <w:shd w:val="clear" w:color="auto" w:fill="auto"/>
            <w:vAlign w:val="center"/>
          </w:tcPr>
          <w:p w14:paraId="417449E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E58A8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37F33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E094E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w:t>
            </w:r>
          </w:p>
        </w:tc>
        <w:tc>
          <w:tcPr>
            <w:tcW w:w="1417" w:type="pct"/>
            <w:shd w:val="clear" w:color="auto" w:fill="auto"/>
            <w:vAlign w:val="center"/>
          </w:tcPr>
          <w:p w14:paraId="1DA7182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全自动尿液分析系统</w:t>
            </w:r>
          </w:p>
        </w:tc>
        <w:tc>
          <w:tcPr>
            <w:tcW w:w="2598" w:type="pct"/>
            <w:shd w:val="clear" w:color="auto" w:fill="auto"/>
            <w:vAlign w:val="center"/>
          </w:tcPr>
          <w:p w14:paraId="6C26960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EA764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r>
      <w:tr w14:paraId="611E7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26F32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w:t>
            </w:r>
          </w:p>
        </w:tc>
        <w:tc>
          <w:tcPr>
            <w:tcW w:w="1417" w:type="pct"/>
            <w:shd w:val="clear" w:color="auto" w:fill="auto"/>
            <w:vAlign w:val="center"/>
          </w:tcPr>
          <w:p w14:paraId="567592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尿液分析仪</w:t>
            </w:r>
          </w:p>
        </w:tc>
        <w:tc>
          <w:tcPr>
            <w:tcW w:w="2598" w:type="pct"/>
            <w:shd w:val="clear" w:color="auto" w:fill="auto"/>
            <w:vAlign w:val="center"/>
          </w:tcPr>
          <w:p w14:paraId="190A20F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45D43A6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1BD88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52AB12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w:t>
            </w:r>
          </w:p>
        </w:tc>
        <w:tc>
          <w:tcPr>
            <w:tcW w:w="1417" w:type="pct"/>
            <w:shd w:val="clear" w:color="auto" w:fill="auto"/>
            <w:vAlign w:val="center"/>
          </w:tcPr>
          <w:p w14:paraId="33E418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全自动化学发光测定仪</w:t>
            </w:r>
          </w:p>
        </w:tc>
        <w:tc>
          <w:tcPr>
            <w:tcW w:w="2598" w:type="pct"/>
            <w:shd w:val="clear" w:color="auto" w:fill="auto"/>
            <w:vAlign w:val="center"/>
          </w:tcPr>
          <w:p w14:paraId="52C9007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3F3B69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r>
      <w:tr w14:paraId="58D3C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C3CA8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c>
          <w:tcPr>
            <w:tcW w:w="1417" w:type="pct"/>
            <w:shd w:val="clear" w:color="auto" w:fill="auto"/>
            <w:vAlign w:val="center"/>
          </w:tcPr>
          <w:p w14:paraId="54FB358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电解质分析仪</w:t>
            </w:r>
          </w:p>
        </w:tc>
        <w:tc>
          <w:tcPr>
            <w:tcW w:w="2598" w:type="pct"/>
            <w:shd w:val="clear" w:color="auto" w:fill="auto"/>
            <w:vAlign w:val="center"/>
          </w:tcPr>
          <w:p w14:paraId="4C1FDA3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DD734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0A7E8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BCEEC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7</w:t>
            </w:r>
          </w:p>
        </w:tc>
        <w:tc>
          <w:tcPr>
            <w:tcW w:w="1417" w:type="pct"/>
            <w:shd w:val="clear" w:color="auto" w:fill="auto"/>
            <w:vAlign w:val="center"/>
          </w:tcPr>
          <w:p w14:paraId="09400E6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干式荧光免疫分析仪</w:t>
            </w:r>
          </w:p>
        </w:tc>
        <w:tc>
          <w:tcPr>
            <w:tcW w:w="2598" w:type="pct"/>
            <w:shd w:val="clear" w:color="auto" w:fill="auto"/>
            <w:vAlign w:val="center"/>
          </w:tcPr>
          <w:p w14:paraId="32D82E3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2BC59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6232D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10DCA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w:t>
            </w:r>
          </w:p>
        </w:tc>
        <w:tc>
          <w:tcPr>
            <w:tcW w:w="1417" w:type="pct"/>
            <w:shd w:val="clear" w:color="auto" w:fill="auto"/>
            <w:vAlign w:val="center"/>
          </w:tcPr>
          <w:p w14:paraId="5CBFB6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全自动凝血分析仪</w:t>
            </w:r>
          </w:p>
        </w:tc>
        <w:tc>
          <w:tcPr>
            <w:tcW w:w="2598" w:type="pct"/>
            <w:shd w:val="clear" w:color="auto" w:fill="auto"/>
            <w:vAlign w:val="center"/>
          </w:tcPr>
          <w:p w14:paraId="64CBF73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EFBC78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r>
      <w:tr w14:paraId="546F6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5599B1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w:t>
            </w:r>
          </w:p>
        </w:tc>
        <w:tc>
          <w:tcPr>
            <w:tcW w:w="1417" w:type="pct"/>
            <w:shd w:val="clear" w:color="auto" w:fill="auto"/>
            <w:vAlign w:val="center"/>
          </w:tcPr>
          <w:p w14:paraId="024E19E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血沉仪</w:t>
            </w:r>
          </w:p>
        </w:tc>
        <w:tc>
          <w:tcPr>
            <w:tcW w:w="2598" w:type="pct"/>
            <w:shd w:val="clear" w:color="auto" w:fill="auto"/>
            <w:vAlign w:val="center"/>
          </w:tcPr>
          <w:p w14:paraId="4DA53C3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26D61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r>
      <w:tr w14:paraId="6EFD8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12727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w:t>
            </w:r>
          </w:p>
        </w:tc>
        <w:tc>
          <w:tcPr>
            <w:tcW w:w="1417" w:type="pct"/>
            <w:shd w:val="clear" w:color="auto" w:fill="auto"/>
            <w:vAlign w:val="center"/>
          </w:tcPr>
          <w:p w14:paraId="7329E9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生物显微镜</w:t>
            </w:r>
          </w:p>
        </w:tc>
        <w:tc>
          <w:tcPr>
            <w:tcW w:w="2598" w:type="pct"/>
            <w:shd w:val="clear" w:color="auto" w:fill="auto"/>
            <w:vAlign w:val="center"/>
          </w:tcPr>
          <w:p w14:paraId="011B075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C3D6D9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1B3E7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866F9D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11</w:t>
            </w:r>
          </w:p>
        </w:tc>
        <w:tc>
          <w:tcPr>
            <w:tcW w:w="1417" w:type="pct"/>
            <w:shd w:val="clear" w:color="auto" w:fill="auto"/>
            <w:vAlign w:val="center"/>
          </w:tcPr>
          <w:p w14:paraId="0A1298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电热恒温水槽</w:t>
            </w:r>
          </w:p>
        </w:tc>
        <w:tc>
          <w:tcPr>
            <w:tcW w:w="2598" w:type="pct"/>
            <w:shd w:val="clear" w:color="auto" w:fill="auto"/>
            <w:vAlign w:val="center"/>
          </w:tcPr>
          <w:p w14:paraId="7FDD76C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FF8DB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4E2A9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4BB65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12</w:t>
            </w:r>
          </w:p>
        </w:tc>
        <w:tc>
          <w:tcPr>
            <w:tcW w:w="1417" w:type="pct"/>
            <w:shd w:val="clear" w:color="auto" w:fill="auto"/>
            <w:vAlign w:val="center"/>
          </w:tcPr>
          <w:p w14:paraId="13D40F3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检验专用纯水机</w:t>
            </w:r>
          </w:p>
        </w:tc>
        <w:tc>
          <w:tcPr>
            <w:tcW w:w="2598" w:type="pct"/>
            <w:shd w:val="clear" w:color="auto" w:fill="auto"/>
            <w:vAlign w:val="center"/>
          </w:tcPr>
          <w:p w14:paraId="544AA88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86301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00357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10436B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13</w:t>
            </w:r>
          </w:p>
        </w:tc>
        <w:tc>
          <w:tcPr>
            <w:tcW w:w="1417" w:type="pct"/>
            <w:shd w:val="clear" w:color="auto" w:fill="auto"/>
            <w:vAlign w:val="center"/>
          </w:tcPr>
          <w:p w14:paraId="158F8C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不间断电源UPS</w:t>
            </w:r>
          </w:p>
        </w:tc>
        <w:tc>
          <w:tcPr>
            <w:tcW w:w="2598" w:type="pct"/>
            <w:shd w:val="clear" w:color="auto" w:fill="auto"/>
            <w:vAlign w:val="center"/>
          </w:tcPr>
          <w:p w14:paraId="241F7F9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133A8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2ED17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0F5D7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14</w:t>
            </w:r>
          </w:p>
        </w:tc>
        <w:tc>
          <w:tcPr>
            <w:tcW w:w="1417" w:type="pct"/>
            <w:shd w:val="clear" w:color="auto" w:fill="auto"/>
            <w:vAlign w:val="center"/>
          </w:tcPr>
          <w:p w14:paraId="764478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医用离心机</w:t>
            </w:r>
          </w:p>
        </w:tc>
        <w:tc>
          <w:tcPr>
            <w:tcW w:w="2598" w:type="pct"/>
            <w:shd w:val="clear" w:color="auto" w:fill="auto"/>
            <w:vAlign w:val="center"/>
          </w:tcPr>
          <w:p w14:paraId="0607B7D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93A225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2E9DC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44C755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w:t>
            </w:r>
          </w:p>
        </w:tc>
        <w:tc>
          <w:tcPr>
            <w:tcW w:w="1417" w:type="pct"/>
            <w:shd w:val="clear" w:color="auto" w:fill="auto"/>
            <w:vAlign w:val="center"/>
          </w:tcPr>
          <w:p w14:paraId="344B81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电脑主机+显示器</w:t>
            </w:r>
          </w:p>
        </w:tc>
        <w:tc>
          <w:tcPr>
            <w:tcW w:w="2598" w:type="pct"/>
            <w:shd w:val="clear" w:color="auto" w:fill="auto"/>
            <w:vAlign w:val="center"/>
          </w:tcPr>
          <w:p w14:paraId="472421E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00C673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3DA94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72F884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c>
          <w:tcPr>
            <w:tcW w:w="1417" w:type="pct"/>
            <w:shd w:val="clear" w:color="auto" w:fill="auto"/>
            <w:vAlign w:val="center"/>
          </w:tcPr>
          <w:p w14:paraId="164F7E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冰箱</w:t>
            </w:r>
          </w:p>
        </w:tc>
        <w:tc>
          <w:tcPr>
            <w:tcW w:w="2598" w:type="pct"/>
            <w:shd w:val="clear" w:color="auto" w:fill="auto"/>
            <w:vAlign w:val="center"/>
          </w:tcPr>
          <w:p w14:paraId="0266C1C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07C22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r>
      <w:tr w14:paraId="2FD9A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F0D313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17</w:t>
            </w:r>
          </w:p>
        </w:tc>
        <w:tc>
          <w:tcPr>
            <w:tcW w:w="1417" w:type="pct"/>
            <w:shd w:val="clear" w:color="auto" w:fill="auto"/>
            <w:vAlign w:val="center"/>
          </w:tcPr>
          <w:p w14:paraId="02B6BE7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全自动糖化血红蛋白分析仪</w:t>
            </w:r>
          </w:p>
        </w:tc>
        <w:tc>
          <w:tcPr>
            <w:tcW w:w="2598" w:type="pct"/>
            <w:shd w:val="clear" w:color="auto" w:fill="auto"/>
            <w:vAlign w:val="center"/>
          </w:tcPr>
          <w:p w14:paraId="5FCE49E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7082D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r>
      <w:tr w14:paraId="41180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7C5500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区域医院检验中心网络、物流系统</w:t>
            </w:r>
          </w:p>
        </w:tc>
      </w:tr>
      <w:tr w14:paraId="55124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4E551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序号</w:t>
            </w:r>
          </w:p>
        </w:tc>
        <w:tc>
          <w:tcPr>
            <w:tcW w:w="1417" w:type="pct"/>
            <w:shd w:val="clear" w:color="auto" w:fill="auto"/>
            <w:vAlign w:val="center"/>
          </w:tcPr>
          <w:p w14:paraId="1D6FA3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仪器设备名称</w:t>
            </w:r>
          </w:p>
        </w:tc>
        <w:tc>
          <w:tcPr>
            <w:tcW w:w="2598" w:type="pct"/>
            <w:shd w:val="clear" w:color="auto" w:fill="auto"/>
            <w:vAlign w:val="center"/>
          </w:tcPr>
          <w:p w14:paraId="7DBBF75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kern w:val="0"/>
                <w:sz w:val="24"/>
                <w:szCs w:val="24"/>
                <w:highlight w:val="none"/>
                <w:u w:val="none"/>
                <w:lang w:val="en-US" w:eastAsia="zh-CN" w:bidi="ar"/>
              </w:rPr>
              <w:t>配置说明</w:t>
            </w:r>
          </w:p>
        </w:tc>
        <w:tc>
          <w:tcPr>
            <w:tcW w:w="556" w:type="pct"/>
            <w:shd w:val="clear" w:color="auto" w:fill="auto"/>
            <w:vAlign w:val="center"/>
          </w:tcPr>
          <w:p w14:paraId="31EF1D4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数量</w:t>
            </w:r>
          </w:p>
        </w:tc>
      </w:tr>
      <w:tr w14:paraId="042E0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1C657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网络系统</w:t>
            </w:r>
          </w:p>
        </w:tc>
        <w:tc>
          <w:tcPr>
            <w:tcW w:w="1417" w:type="pct"/>
            <w:shd w:val="clear" w:color="auto" w:fill="auto"/>
            <w:vAlign w:val="center"/>
          </w:tcPr>
          <w:p w14:paraId="394F13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区域检验中心LIS系统，SPD系统，质量控制系统、体系文件管理系统、人员培训管理系统、质量指标管理系统等</w:t>
            </w:r>
          </w:p>
        </w:tc>
        <w:tc>
          <w:tcPr>
            <w:tcW w:w="2598" w:type="pct"/>
            <w:shd w:val="clear" w:color="auto" w:fill="auto"/>
            <w:vAlign w:val="center"/>
          </w:tcPr>
          <w:p w14:paraId="33BF22E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6BC3163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区域检验中心、南院区、北院区及16家乡镇卫生院各系统互联互通互认</w:t>
            </w:r>
          </w:p>
        </w:tc>
      </w:tr>
      <w:tr w14:paraId="5676A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BE7203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1417" w:type="pct"/>
            <w:shd w:val="clear" w:color="auto" w:fill="auto"/>
            <w:vAlign w:val="center"/>
          </w:tcPr>
          <w:p w14:paraId="56A08D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医生服务端</w:t>
            </w:r>
          </w:p>
        </w:tc>
        <w:tc>
          <w:tcPr>
            <w:tcW w:w="2598" w:type="pct"/>
            <w:shd w:val="clear" w:color="auto" w:fill="auto"/>
            <w:vAlign w:val="center"/>
          </w:tcPr>
          <w:p w14:paraId="077F7D7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C25BD8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按需</w:t>
            </w:r>
          </w:p>
        </w:tc>
      </w:tr>
      <w:tr w14:paraId="60498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6B2E80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1417" w:type="pct"/>
            <w:shd w:val="clear" w:color="auto" w:fill="auto"/>
            <w:vAlign w:val="center"/>
          </w:tcPr>
          <w:p w14:paraId="6B530C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服务器</w:t>
            </w:r>
          </w:p>
        </w:tc>
        <w:tc>
          <w:tcPr>
            <w:tcW w:w="2598" w:type="pct"/>
            <w:shd w:val="clear" w:color="auto" w:fill="auto"/>
            <w:vAlign w:val="center"/>
          </w:tcPr>
          <w:p w14:paraId="5E842BB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906484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按需</w:t>
            </w:r>
          </w:p>
        </w:tc>
      </w:tr>
      <w:tr w14:paraId="1F8A1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39367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办公设备</w:t>
            </w:r>
          </w:p>
        </w:tc>
        <w:tc>
          <w:tcPr>
            <w:tcW w:w="1417" w:type="pct"/>
            <w:shd w:val="clear" w:color="auto" w:fill="auto"/>
            <w:vAlign w:val="center"/>
          </w:tcPr>
          <w:p w14:paraId="55C5745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办公电脑</w:t>
            </w:r>
          </w:p>
        </w:tc>
        <w:tc>
          <w:tcPr>
            <w:tcW w:w="2598" w:type="pct"/>
            <w:shd w:val="clear" w:color="auto" w:fill="auto"/>
            <w:vAlign w:val="center"/>
          </w:tcPr>
          <w:p w14:paraId="7BB299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5664EAC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按需</w:t>
            </w:r>
          </w:p>
        </w:tc>
      </w:tr>
      <w:tr w14:paraId="152AF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D46460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1417" w:type="pct"/>
            <w:shd w:val="clear" w:color="auto" w:fill="auto"/>
            <w:vAlign w:val="center"/>
          </w:tcPr>
          <w:p w14:paraId="434C1E5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打印机、复印机等</w:t>
            </w:r>
          </w:p>
        </w:tc>
        <w:tc>
          <w:tcPr>
            <w:tcW w:w="2598" w:type="pct"/>
            <w:shd w:val="clear" w:color="auto" w:fill="auto"/>
            <w:vAlign w:val="center"/>
          </w:tcPr>
          <w:p w14:paraId="77E6302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78D9E0C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按需</w:t>
            </w:r>
          </w:p>
        </w:tc>
      </w:tr>
      <w:tr w14:paraId="5C647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5865C5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物流系统</w:t>
            </w:r>
          </w:p>
        </w:tc>
        <w:tc>
          <w:tcPr>
            <w:tcW w:w="1417" w:type="pct"/>
            <w:shd w:val="clear" w:color="auto" w:fill="auto"/>
            <w:vAlign w:val="center"/>
          </w:tcPr>
          <w:p w14:paraId="6DD0DB7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物流车</w:t>
            </w:r>
          </w:p>
        </w:tc>
        <w:tc>
          <w:tcPr>
            <w:tcW w:w="2598" w:type="pct"/>
            <w:shd w:val="clear" w:color="auto" w:fill="auto"/>
            <w:vAlign w:val="center"/>
          </w:tcPr>
          <w:p w14:paraId="0A2564F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27E7FA9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按需</w:t>
            </w:r>
          </w:p>
        </w:tc>
      </w:tr>
      <w:tr w14:paraId="46FC3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48E360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1417" w:type="pct"/>
            <w:shd w:val="clear" w:color="auto" w:fill="auto"/>
            <w:vAlign w:val="center"/>
          </w:tcPr>
          <w:p w14:paraId="479C1F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保温箱</w:t>
            </w:r>
          </w:p>
        </w:tc>
        <w:tc>
          <w:tcPr>
            <w:tcW w:w="2598" w:type="pct"/>
            <w:shd w:val="clear" w:color="auto" w:fill="auto"/>
            <w:vAlign w:val="center"/>
          </w:tcPr>
          <w:p w14:paraId="07EACF8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349FA21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按需</w:t>
            </w:r>
          </w:p>
        </w:tc>
      </w:tr>
      <w:tr w14:paraId="777E2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87FA1D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1417" w:type="pct"/>
            <w:shd w:val="clear" w:color="auto" w:fill="auto"/>
            <w:vAlign w:val="center"/>
          </w:tcPr>
          <w:p w14:paraId="4ABA9C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低温冰箱</w:t>
            </w:r>
          </w:p>
        </w:tc>
        <w:tc>
          <w:tcPr>
            <w:tcW w:w="2598" w:type="pct"/>
            <w:shd w:val="clear" w:color="auto" w:fill="auto"/>
            <w:vAlign w:val="center"/>
          </w:tcPr>
          <w:p w14:paraId="7F7C8DC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sz w:val="24"/>
                <w:szCs w:val="24"/>
                <w:highlight w:val="none"/>
                <w:u w:val="none"/>
                <w:lang w:val="en-US" w:eastAsia="zh-CN"/>
              </w:rPr>
              <w:t>/</w:t>
            </w:r>
          </w:p>
        </w:tc>
        <w:tc>
          <w:tcPr>
            <w:tcW w:w="556" w:type="pct"/>
            <w:shd w:val="clear" w:color="auto" w:fill="auto"/>
            <w:vAlign w:val="center"/>
          </w:tcPr>
          <w:p w14:paraId="1AC34D0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按需</w:t>
            </w:r>
          </w:p>
        </w:tc>
      </w:tr>
    </w:tbl>
    <w:p w14:paraId="3E6DC06A">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val="en-US" w:eastAsia="zh-CN"/>
        </w:rPr>
        <w:t>病理中心</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77"/>
        <w:gridCol w:w="3591"/>
        <w:gridCol w:w="4094"/>
        <w:gridCol w:w="980"/>
      </w:tblGrid>
      <w:tr w14:paraId="4E859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248C48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病理中心所需设备清单</w:t>
            </w:r>
          </w:p>
        </w:tc>
      </w:tr>
      <w:tr w14:paraId="2F6C3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143603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序号</w:t>
            </w:r>
          </w:p>
        </w:tc>
        <w:tc>
          <w:tcPr>
            <w:tcW w:w="1963" w:type="pct"/>
            <w:shd w:val="clear" w:color="auto" w:fill="auto"/>
            <w:vAlign w:val="center"/>
          </w:tcPr>
          <w:p w14:paraId="014D23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仪器设备名称</w:t>
            </w:r>
          </w:p>
        </w:tc>
        <w:tc>
          <w:tcPr>
            <w:tcW w:w="2235" w:type="pct"/>
            <w:shd w:val="clear" w:color="auto" w:fill="auto"/>
            <w:vAlign w:val="center"/>
          </w:tcPr>
          <w:p w14:paraId="0863BCE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仪器设备规格/参数</w:t>
            </w:r>
          </w:p>
        </w:tc>
        <w:tc>
          <w:tcPr>
            <w:tcW w:w="548" w:type="pct"/>
            <w:shd w:val="clear" w:color="auto" w:fill="auto"/>
            <w:vAlign w:val="center"/>
          </w:tcPr>
          <w:p w14:paraId="3FD81FE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仪器设备数量</w:t>
            </w:r>
          </w:p>
        </w:tc>
      </w:tr>
      <w:tr w14:paraId="0FAAD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252" w:type="pct"/>
            <w:shd w:val="clear" w:color="auto" w:fill="auto"/>
            <w:vAlign w:val="center"/>
          </w:tcPr>
          <w:p w14:paraId="04133E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c>
          <w:tcPr>
            <w:tcW w:w="1963" w:type="pct"/>
            <w:shd w:val="clear" w:color="auto" w:fill="auto"/>
            <w:vAlign w:val="center"/>
          </w:tcPr>
          <w:p w14:paraId="23090E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多头生物显微镜（6人）</w:t>
            </w:r>
          </w:p>
        </w:tc>
        <w:tc>
          <w:tcPr>
            <w:tcW w:w="2235" w:type="pct"/>
            <w:shd w:val="clear" w:color="auto" w:fill="auto"/>
            <w:vAlign w:val="center"/>
          </w:tcPr>
          <w:p w14:paraId="4E13E94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1C5EF9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093A4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1B40EE1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c>
          <w:tcPr>
            <w:tcW w:w="1963" w:type="pct"/>
            <w:shd w:val="clear" w:color="auto" w:fill="auto"/>
            <w:vAlign w:val="center"/>
          </w:tcPr>
          <w:p w14:paraId="3AC26E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病理显微镜</w:t>
            </w:r>
          </w:p>
        </w:tc>
        <w:tc>
          <w:tcPr>
            <w:tcW w:w="2235" w:type="pct"/>
            <w:shd w:val="clear" w:color="auto" w:fill="auto"/>
            <w:vAlign w:val="center"/>
          </w:tcPr>
          <w:p w14:paraId="6E13104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0D63D6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w:t>
            </w:r>
          </w:p>
        </w:tc>
      </w:tr>
      <w:tr w14:paraId="7A291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354AF4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w:t>
            </w:r>
          </w:p>
        </w:tc>
        <w:tc>
          <w:tcPr>
            <w:tcW w:w="1963" w:type="pct"/>
            <w:shd w:val="clear" w:color="auto" w:fill="auto"/>
            <w:vAlign w:val="center"/>
          </w:tcPr>
          <w:p w14:paraId="2DD05D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通风排毒晾片板柜</w:t>
            </w:r>
          </w:p>
        </w:tc>
        <w:tc>
          <w:tcPr>
            <w:tcW w:w="2235" w:type="pct"/>
            <w:shd w:val="clear" w:color="auto" w:fill="auto"/>
            <w:vAlign w:val="center"/>
          </w:tcPr>
          <w:p w14:paraId="39EC29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328BCF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2A991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4533AA6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w:t>
            </w:r>
          </w:p>
        </w:tc>
        <w:tc>
          <w:tcPr>
            <w:tcW w:w="1963" w:type="pct"/>
            <w:shd w:val="clear" w:color="auto" w:fill="auto"/>
            <w:vAlign w:val="center"/>
          </w:tcPr>
          <w:p w14:paraId="2E677C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全自动免疫分析系统</w:t>
            </w:r>
          </w:p>
        </w:tc>
        <w:tc>
          <w:tcPr>
            <w:tcW w:w="2235" w:type="pct"/>
            <w:shd w:val="clear" w:color="auto" w:fill="auto"/>
            <w:vAlign w:val="center"/>
          </w:tcPr>
          <w:p w14:paraId="6F66A2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5704764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6816A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28C425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w:t>
            </w:r>
          </w:p>
        </w:tc>
        <w:tc>
          <w:tcPr>
            <w:tcW w:w="1963" w:type="pct"/>
            <w:shd w:val="clear" w:color="auto" w:fill="auto"/>
            <w:vAlign w:val="center"/>
          </w:tcPr>
          <w:p w14:paraId="4A4F6DE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半自动轮转式切片机</w:t>
            </w:r>
          </w:p>
        </w:tc>
        <w:tc>
          <w:tcPr>
            <w:tcW w:w="2235" w:type="pct"/>
            <w:shd w:val="clear" w:color="auto" w:fill="auto"/>
            <w:vAlign w:val="center"/>
          </w:tcPr>
          <w:p w14:paraId="2F537C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3DBFFC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r>
      <w:tr w14:paraId="7B118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252" w:type="pct"/>
            <w:shd w:val="clear" w:color="auto" w:fill="auto"/>
            <w:vAlign w:val="center"/>
          </w:tcPr>
          <w:p w14:paraId="2C13AE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c>
          <w:tcPr>
            <w:tcW w:w="1963" w:type="pct"/>
            <w:shd w:val="clear" w:color="auto" w:fill="auto"/>
            <w:vAlign w:val="center"/>
          </w:tcPr>
          <w:p w14:paraId="6560C6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生物组织摊烤片机</w:t>
            </w:r>
          </w:p>
        </w:tc>
        <w:tc>
          <w:tcPr>
            <w:tcW w:w="2235" w:type="pct"/>
            <w:shd w:val="clear" w:color="auto" w:fill="auto"/>
            <w:vAlign w:val="center"/>
          </w:tcPr>
          <w:p w14:paraId="2E7E3F7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4EDCD05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r>
      <w:tr w14:paraId="349A5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56E675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7</w:t>
            </w:r>
          </w:p>
        </w:tc>
        <w:tc>
          <w:tcPr>
            <w:tcW w:w="1963" w:type="pct"/>
            <w:shd w:val="clear" w:color="auto" w:fill="auto"/>
            <w:vAlign w:val="center"/>
          </w:tcPr>
          <w:p w14:paraId="72486E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带锁医用切片柜</w:t>
            </w:r>
          </w:p>
        </w:tc>
        <w:tc>
          <w:tcPr>
            <w:tcW w:w="2235" w:type="pct"/>
            <w:shd w:val="clear" w:color="auto" w:fill="auto"/>
            <w:vAlign w:val="center"/>
          </w:tcPr>
          <w:p w14:paraId="192533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6EDB56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40</w:t>
            </w:r>
          </w:p>
        </w:tc>
      </w:tr>
      <w:tr w14:paraId="3F29F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35E812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w:t>
            </w:r>
          </w:p>
        </w:tc>
        <w:tc>
          <w:tcPr>
            <w:tcW w:w="1963" w:type="pct"/>
            <w:shd w:val="clear" w:color="auto" w:fill="auto"/>
            <w:vAlign w:val="center"/>
          </w:tcPr>
          <w:p w14:paraId="66A743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带锁医用蜡块柜</w:t>
            </w:r>
          </w:p>
        </w:tc>
        <w:tc>
          <w:tcPr>
            <w:tcW w:w="2235" w:type="pct"/>
            <w:shd w:val="clear" w:color="auto" w:fill="auto"/>
            <w:vAlign w:val="center"/>
          </w:tcPr>
          <w:p w14:paraId="3BA65F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7CC0127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40</w:t>
            </w:r>
          </w:p>
        </w:tc>
      </w:tr>
      <w:tr w14:paraId="73412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5BB736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w:t>
            </w:r>
          </w:p>
        </w:tc>
        <w:tc>
          <w:tcPr>
            <w:tcW w:w="1963" w:type="pct"/>
            <w:shd w:val="clear" w:color="auto" w:fill="auto"/>
            <w:vAlign w:val="center"/>
          </w:tcPr>
          <w:p w14:paraId="4A7CD1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石腊包埋机</w:t>
            </w:r>
          </w:p>
        </w:tc>
        <w:tc>
          <w:tcPr>
            <w:tcW w:w="2235" w:type="pct"/>
            <w:shd w:val="clear" w:color="auto" w:fill="auto"/>
            <w:vAlign w:val="center"/>
          </w:tcPr>
          <w:p w14:paraId="6AE6FC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1F16E1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11C34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252" w:type="pct"/>
            <w:shd w:val="clear" w:color="auto" w:fill="auto"/>
            <w:vAlign w:val="center"/>
          </w:tcPr>
          <w:p w14:paraId="79DDC4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w:t>
            </w:r>
          </w:p>
        </w:tc>
        <w:tc>
          <w:tcPr>
            <w:tcW w:w="1963" w:type="pct"/>
            <w:shd w:val="clear" w:color="auto" w:fill="auto"/>
            <w:vAlign w:val="center"/>
          </w:tcPr>
          <w:p w14:paraId="612992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包埋专用冷冻台</w:t>
            </w:r>
          </w:p>
        </w:tc>
        <w:tc>
          <w:tcPr>
            <w:tcW w:w="2235" w:type="pct"/>
            <w:shd w:val="clear" w:color="auto" w:fill="auto"/>
            <w:vAlign w:val="center"/>
          </w:tcPr>
          <w:p w14:paraId="5CE53B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50457F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65ED2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37A3191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11</w:t>
            </w:r>
          </w:p>
        </w:tc>
        <w:tc>
          <w:tcPr>
            <w:tcW w:w="1963" w:type="pct"/>
            <w:shd w:val="clear" w:color="auto" w:fill="auto"/>
            <w:vAlign w:val="center"/>
          </w:tcPr>
          <w:p w14:paraId="2B4CEC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冷冻切片机</w:t>
            </w:r>
          </w:p>
        </w:tc>
        <w:tc>
          <w:tcPr>
            <w:tcW w:w="2235" w:type="pct"/>
            <w:shd w:val="clear" w:color="auto" w:fill="auto"/>
            <w:vAlign w:val="center"/>
          </w:tcPr>
          <w:p w14:paraId="1CBB763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48" w:type="pct"/>
            <w:shd w:val="clear" w:color="auto" w:fill="auto"/>
            <w:vAlign w:val="center"/>
          </w:tcPr>
          <w:p w14:paraId="277703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75CF3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0493CA6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12</w:t>
            </w:r>
          </w:p>
        </w:tc>
        <w:tc>
          <w:tcPr>
            <w:tcW w:w="1963" w:type="pct"/>
            <w:shd w:val="clear" w:color="auto" w:fill="auto"/>
            <w:vAlign w:val="center"/>
          </w:tcPr>
          <w:p w14:paraId="0F5803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全自动HE单独滴染染封一体机</w:t>
            </w:r>
          </w:p>
        </w:tc>
        <w:tc>
          <w:tcPr>
            <w:tcW w:w="2235" w:type="pct"/>
            <w:shd w:val="clear" w:color="auto" w:fill="auto"/>
            <w:vAlign w:val="center"/>
          </w:tcPr>
          <w:p w14:paraId="595BF5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5269D6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0AA05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1C173F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13</w:t>
            </w:r>
          </w:p>
        </w:tc>
        <w:tc>
          <w:tcPr>
            <w:tcW w:w="1963" w:type="pct"/>
            <w:shd w:val="clear" w:color="auto" w:fill="auto"/>
            <w:vAlign w:val="center"/>
          </w:tcPr>
          <w:p w14:paraId="1C15682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全自动液基薄层细胞制片染色机</w:t>
            </w:r>
          </w:p>
        </w:tc>
        <w:tc>
          <w:tcPr>
            <w:tcW w:w="2235" w:type="pct"/>
            <w:shd w:val="clear" w:color="auto" w:fill="auto"/>
            <w:vAlign w:val="center"/>
          </w:tcPr>
          <w:p w14:paraId="08CEC7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32F3F1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67E86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320E45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14</w:t>
            </w:r>
          </w:p>
        </w:tc>
        <w:tc>
          <w:tcPr>
            <w:tcW w:w="1963" w:type="pct"/>
            <w:shd w:val="clear" w:color="auto" w:fill="auto"/>
            <w:vAlign w:val="center"/>
          </w:tcPr>
          <w:p w14:paraId="532151E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计算机辅助阅片诊断系统（含病理切片扫描仪）</w:t>
            </w:r>
          </w:p>
        </w:tc>
        <w:tc>
          <w:tcPr>
            <w:tcW w:w="2235" w:type="pct"/>
            <w:shd w:val="clear" w:color="auto" w:fill="auto"/>
            <w:vAlign w:val="center"/>
          </w:tcPr>
          <w:p w14:paraId="0F1267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1F2022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49828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29AA099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w:t>
            </w:r>
          </w:p>
        </w:tc>
        <w:tc>
          <w:tcPr>
            <w:tcW w:w="1963" w:type="pct"/>
            <w:shd w:val="clear" w:color="auto" w:fill="auto"/>
            <w:vAlign w:val="center"/>
          </w:tcPr>
          <w:p w14:paraId="1DC11D6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全自动HE染色封片一体机</w:t>
            </w:r>
          </w:p>
        </w:tc>
        <w:tc>
          <w:tcPr>
            <w:tcW w:w="2235" w:type="pct"/>
            <w:shd w:val="clear" w:color="auto" w:fill="auto"/>
            <w:vAlign w:val="center"/>
          </w:tcPr>
          <w:p w14:paraId="256D51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6B5C73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6E7F9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25557B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c>
          <w:tcPr>
            <w:tcW w:w="1963" w:type="pct"/>
            <w:shd w:val="clear" w:color="auto" w:fill="auto"/>
            <w:vAlign w:val="center"/>
          </w:tcPr>
          <w:p w14:paraId="11D476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包埋盒激光打码机</w:t>
            </w:r>
          </w:p>
        </w:tc>
        <w:tc>
          <w:tcPr>
            <w:tcW w:w="2235" w:type="pct"/>
            <w:shd w:val="clear" w:color="auto" w:fill="auto"/>
            <w:vAlign w:val="center"/>
          </w:tcPr>
          <w:p w14:paraId="042005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304FD2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39A15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78F0A8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17</w:t>
            </w:r>
          </w:p>
        </w:tc>
        <w:tc>
          <w:tcPr>
            <w:tcW w:w="1963" w:type="pct"/>
            <w:shd w:val="clear" w:color="auto" w:fill="auto"/>
            <w:vAlign w:val="center"/>
          </w:tcPr>
          <w:p w14:paraId="328FF49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标签打号机（含相关墨及纸）</w:t>
            </w:r>
          </w:p>
        </w:tc>
        <w:tc>
          <w:tcPr>
            <w:tcW w:w="2235" w:type="pct"/>
            <w:shd w:val="clear" w:color="auto" w:fill="auto"/>
            <w:vAlign w:val="center"/>
          </w:tcPr>
          <w:p w14:paraId="4DC3055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cstheme="minorEastAsia"/>
                <w:i w:val="0"/>
                <w:iCs w:val="0"/>
                <w:color w:val="auto"/>
                <w:sz w:val="24"/>
                <w:szCs w:val="24"/>
                <w:highlight w:val="none"/>
                <w:u w:val="none"/>
                <w:lang w:val="en-US" w:eastAsia="zh-CN"/>
              </w:rPr>
              <w:t>/</w:t>
            </w:r>
          </w:p>
        </w:tc>
        <w:tc>
          <w:tcPr>
            <w:tcW w:w="548" w:type="pct"/>
            <w:shd w:val="clear" w:color="auto" w:fill="auto"/>
            <w:vAlign w:val="center"/>
          </w:tcPr>
          <w:p w14:paraId="4DE145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65863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2" w:type="pct"/>
            <w:shd w:val="clear" w:color="auto" w:fill="auto"/>
            <w:vAlign w:val="center"/>
          </w:tcPr>
          <w:p w14:paraId="1752BF6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18</w:t>
            </w:r>
          </w:p>
        </w:tc>
        <w:tc>
          <w:tcPr>
            <w:tcW w:w="1963" w:type="pct"/>
            <w:shd w:val="clear" w:color="auto" w:fill="auto"/>
            <w:vAlign w:val="center"/>
          </w:tcPr>
          <w:p w14:paraId="191116E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全封闭式组织脱水机</w:t>
            </w:r>
          </w:p>
        </w:tc>
        <w:tc>
          <w:tcPr>
            <w:tcW w:w="2235" w:type="pct"/>
            <w:shd w:val="clear" w:color="auto" w:fill="auto"/>
            <w:vAlign w:val="center"/>
          </w:tcPr>
          <w:p w14:paraId="00F187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设备的详细规格参数</w:t>
            </w: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highlight w:val="none"/>
                <w:shd w:val="clear" w:fill="FFFFFF"/>
                <w:lang w:val="en-US" w:eastAsia="zh-CN"/>
              </w:rPr>
              <w:t>要求</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详见</w:t>
            </w:r>
            <w:r>
              <w:rPr>
                <w:rFonts w:hint="eastAsia" w:asciiTheme="minorEastAsia" w:hAnsiTheme="minorEastAsia" w:cstheme="minorEastAsia"/>
                <w:b/>
                <w:bCs/>
                <w:i w:val="0"/>
                <w:iCs w:val="0"/>
                <w:caps w:val="0"/>
                <w:color w:val="auto"/>
                <w:spacing w:val="0"/>
                <w:sz w:val="24"/>
                <w:szCs w:val="24"/>
                <w:highlight w:val="none"/>
                <w:shd w:val="clear" w:fill="FFFFFF"/>
                <w:lang w:eastAsia="zh-CN"/>
              </w:rPr>
              <w:t>：</w:t>
            </w:r>
            <w:r>
              <w:rPr>
                <w:rFonts w:hint="eastAsia" w:asciiTheme="minorEastAsia" w:hAnsiTheme="minorEastAsia" w:eastAsiaTheme="minorEastAsia" w:cstheme="minorEastAsia"/>
                <w:b/>
                <w:bCs/>
                <w:i w:val="0"/>
                <w:iCs w:val="0"/>
                <w:caps w:val="0"/>
                <w:color w:val="auto"/>
                <w:spacing w:val="0"/>
                <w:sz w:val="24"/>
                <w:szCs w:val="24"/>
                <w:highlight w:val="none"/>
                <w:shd w:val="clear" w:fill="FFFFFF"/>
              </w:rPr>
              <w:t>附件1</w:t>
            </w:r>
          </w:p>
        </w:tc>
        <w:tc>
          <w:tcPr>
            <w:tcW w:w="548" w:type="pct"/>
            <w:shd w:val="clear" w:color="auto" w:fill="auto"/>
            <w:vAlign w:val="center"/>
          </w:tcPr>
          <w:p w14:paraId="640AE6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bl>
    <w:p w14:paraId="3931719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rPr>
          <w:rStyle w:val="10"/>
          <w:rFonts w:hint="eastAsia" w:asciiTheme="minorEastAsia" w:hAnsiTheme="minorEastAsia" w:eastAsiaTheme="minorEastAsia" w:cstheme="minorEastAsia"/>
          <w:color w:val="auto"/>
          <w:spacing w:val="0"/>
          <w:sz w:val="24"/>
          <w:szCs w:val="24"/>
          <w:highlight w:val="none"/>
          <w:lang w:eastAsia="zh-CN"/>
        </w:rPr>
      </w:pPr>
      <w:r>
        <w:rPr>
          <w:rStyle w:val="10"/>
          <w:rFonts w:hint="eastAsia" w:asciiTheme="minorEastAsia" w:hAnsiTheme="minorEastAsia" w:eastAsia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六</w:t>
      </w:r>
      <w:r>
        <w:rPr>
          <w:rStyle w:val="10"/>
          <w:rFonts w:hint="eastAsia" w:asciiTheme="minorEastAsia" w:hAnsiTheme="minorEastAsia" w:eastAsiaTheme="minorEastAsia" w:cstheme="minorEastAsia"/>
          <w:color w:val="auto"/>
          <w:spacing w:val="0"/>
          <w:sz w:val="24"/>
          <w:szCs w:val="24"/>
          <w:highlight w:val="none"/>
          <w:lang w:eastAsia="zh-CN"/>
        </w:rPr>
        <w:t>）区域检验、病理中心其他服务要求</w:t>
      </w:r>
    </w:p>
    <w:p w14:paraId="65360AC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评标指标15</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1.投标人应具备应急保障能力，保障在突发情况下区域检验、病理中心样本能及时保质检测。</w:t>
      </w:r>
    </w:p>
    <w:p w14:paraId="6AC472C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pacing w:val="0"/>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评标指标16</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2.投标人应具备质量体系导入建设能力，</w:t>
      </w:r>
      <w:r>
        <w:rPr>
          <w:rFonts w:hint="eastAsia" w:asciiTheme="minorEastAsia" w:hAnsiTheme="minorEastAsia" w:eastAsiaTheme="minorEastAsia" w:cstheme="minorEastAsia"/>
          <w:color w:val="auto"/>
          <w:spacing w:val="0"/>
          <w:sz w:val="24"/>
          <w:szCs w:val="24"/>
          <w:highlight w:val="none"/>
        </w:rPr>
        <w:t>协助</w:t>
      </w:r>
      <w:r>
        <w:rPr>
          <w:rFonts w:hint="eastAsia" w:asciiTheme="minorEastAsia" w:hAnsiTheme="minorEastAsia" w:eastAsiaTheme="minorEastAsia" w:cstheme="minorEastAsia"/>
          <w:color w:val="auto"/>
          <w:spacing w:val="0"/>
          <w:sz w:val="24"/>
          <w:szCs w:val="24"/>
          <w:highlight w:val="none"/>
          <w:lang w:eastAsia="zh-CN"/>
        </w:rPr>
        <w:t>采购人</w:t>
      </w:r>
      <w:r>
        <w:rPr>
          <w:rFonts w:hint="eastAsia" w:asciiTheme="minorEastAsia" w:hAnsiTheme="minorEastAsia" w:eastAsiaTheme="minorEastAsia" w:cstheme="minorEastAsia"/>
          <w:color w:val="auto"/>
          <w:spacing w:val="0"/>
          <w:sz w:val="24"/>
          <w:szCs w:val="24"/>
          <w:highlight w:val="none"/>
        </w:rPr>
        <w:t>开展质量管理和运营体系建设，促进</w:t>
      </w:r>
      <w:r>
        <w:rPr>
          <w:rFonts w:hint="eastAsia" w:asciiTheme="minorEastAsia" w:hAnsiTheme="minorEastAsia" w:eastAsiaTheme="minorEastAsia" w:cstheme="minorEastAsia"/>
          <w:color w:val="auto"/>
          <w:spacing w:val="0"/>
          <w:sz w:val="24"/>
          <w:szCs w:val="24"/>
          <w:highlight w:val="none"/>
          <w:lang w:eastAsia="zh-CN"/>
        </w:rPr>
        <w:t>区域检验、病理中心</w:t>
      </w:r>
      <w:r>
        <w:rPr>
          <w:rFonts w:hint="eastAsia" w:asciiTheme="minorEastAsia" w:hAnsiTheme="minorEastAsia" w:eastAsiaTheme="minorEastAsia" w:cstheme="minorEastAsia"/>
          <w:color w:val="auto"/>
          <w:spacing w:val="0"/>
          <w:sz w:val="24"/>
          <w:szCs w:val="24"/>
          <w:highlight w:val="none"/>
        </w:rPr>
        <w:t>有序运行与持续改善，并协助</w:t>
      </w:r>
      <w:r>
        <w:rPr>
          <w:rFonts w:hint="eastAsia" w:asciiTheme="minorEastAsia" w:hAnsiTheme="minorEastAsia" w:eastAsiaTheme="minorEastAsia" w:cstheme="minorEastAsia"/>
          <w:color w:val="auto"/>
          <w:spacing w:val="0"/>
          <w:sz w:val="24"/>
          <w:szCs w:val="24"/>
          <w:highlight w:val="none"/>
          <w:lang w:eastAsia="zh-CN"/>
        </w:rPr>
        <w:t>区域检验、病理中心按照</w:t>
      </w:r>
      <w:r>
        <w:rPr>
          <w:rFonts w:hint="eastAsia" w:asciiTheme="minorEastAsia" w:hAnsiTheme="minorEastAsia" w:eastAsiaTheme="minorEastAsia" w:cstheme="minorEastAsia"/>
          <w:color w:val="auto"/>
          <w:sz w:val="24"/>
          <w:szCs w:val="24"/>
          <w:highlight w:val="none"/>
          <w:lang w:val="en-US" w:eastAsia="zh-CN"/>
        </w:rPr>
        <w:t>实验室</w:t>
      </w:r>
      <w:r>
        <w:rPr>
          <w:rFonts w:hint="eastAsia" w:asciiTheme="minorEastAsia" w:hAnsiTheme="minorEastAsia" w:eastAsiaTheme="minorEastAsia" w:cstheme="minorEastAsia"/>
          <w:color w:val="auto"/>
          <w:spacing w:val="0"/>
          <w:sz w:val="24"/>
          <w:szCs w:val="24"/>
          <w:highlight w:val="none"/>
        </w:rPr>
        <w:t>ISO15189的质量体系建设工作，保障医院的医疗安全与检验质量。</w:t>
      </w:r>
      <w:r>
        <w:rPr>
          <w:rFonts w:hint="eastAsia" w:asciiTheme="minorEastAsia" w:hAnsiTheme="minorEastAsia" w:eastAsiaTheme="minorEastAsia" w:cstheme="minorEastAsia"/>
          <w:color w:val="auto"/>
          <w:spacing w:val="0"/>
          <w:sz w:val="24"/>
          <w:szCs w:val="24"/>
          <w:highlight w:val="none"/>
          <w:lang w:val="en-US" w:eastAsia="zh-CN"/>
        </w:rPr>
        <w:t xml:space="preserve">  </w:t>
      </w:r>
    </w:p>
    <w:p w14:paraId="179282A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pacing w:val="0"/>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评标指标17</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3.</w:t>
      </w:r>
      <w:r>
        <w:rPr>
          <w:rFonts w:hint="eastAsia" w:asciiTheme="minorEastAsia" w:hAnsiTheme="minorEastAsia" w:eastAsiaTheme="minorEastAsia" w:cstheme="minorEastAsia"/>
          <w:i w:val="0"/>
          <w:iCs w:val="0"/>
          <w:caps w:val="0"/>
          <w:color w:val="auto"/>
          <w:spacing w:val="0"/>
          <w:sz w:val="24"/>
          <w:szCs w:val="24"/>
          <w:highlight w:val="none"/>
          <w:shd w:val="clear" w:fill="FFFFFF"/>
        </w:rPr>
        <w:t>为保障本项目病理诊断服务的</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规范性、标准化水平及长期数据管理与分析能力</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，投标人应具备先进的数字化病理服务支撑体系。投标人应建立并运行有效的</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病理报告结构化系统</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，以实现病理报告的标准化生成、结构化数据存储与高效检索分析，从而提升诊断质量的一致性、支持科研数据应用并优化服务管理。投标人的系统应具备</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可扩展的、覆盖多病种的结构化报告模板库</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，并拥有</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大规模、成熟的实际应用案例</w:t>
      </w:r>
      <w:r>
        <w:rPr>
          <w:rFonts w:hint="eastAsia" w:asciiTheme="minorEastAsia" w:hAnsiTheme="minorEastAsia" w:eastAsiaTheme="minorEastAsia" w:cstheme="minorEastAsia"/>
          <w:i w:val="0"/>
          <w:iCs w:val="0"/>
          <w:caps w:val="0"/>
          <w:color w:val="auto"/>
          <w:spacing w:val="0"/>
          <w:sz w:val="24"/>
          <w:szCs w:val="24"/>
          <w:highlight w:val="none"/>
          <w:shd w:val="clear" w:fill="FFFFFF"/>
        </w:rPr>
        <w:t>，以证明其系统的实用性与稳定性</w:t>
      </w:r>
      <w:r>
        <w:rPr>
          <w:rFonts w:hint="eastAsia" w:asciiTheme="minorEastAsia" w:hAnsiTheme="minorEastAsia" w:eastAsiaTheme="minorEastAsia" w:cstheme="minorEastAsia"/>
          <w:color w:val="auto"/>
          <w:spacing w:val="0"/>
          <w:sz w:val="24"/>
          <w:szCs w:val="24"/>
          <w:highlight w:val="none"/>
          <w:lang w:val="en-US" w:eastAsia="zh-CN"/>
        </w:rPr>
        <w:t>。系统需包含覆盖常见病理类型的结构化报告模板，通过标准化信息录入（如肿瘤分期、免疫组化指标、分子检测结果等）减少人工误差，提升报告准确性与规范性，推进数智化病理服务体系建设，助力医院通过ISO15189及三级医院评审的质量控制要求。</w:t>
      </w:r>
    </w:p>
    <w:p w14:paraId="27FFF9F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pacing w:val="0"/>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评标指标18</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4.投标人需具备人工智能辅助诊断技术平台及相应的服务能力，能够提供医学图像传输处理系统与病理全流程管理系统（该系统需通过公安部信息系统安全等级保护二级或以上认证）。系统需支持病理图像的高效传输、特征提取与数据分析，提升诊断效率与科研数据处理能力，满足区域中心对智能化诊断与科研平台的建设要求。</w:t>
      </w:r>
    </w:p>
    <w:p w14:paraId="741ADAE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评标指标19</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5.投标人需提供满足医院学科发展</w:t>
      </w:r>
      <w:r>
        <w:rPr>
          <w:rFonts w:hint="eastAsia" w:asciiTheme="minorEastAsia" w:hAnsiTheme="minorEastAsia" w:cstheme="minorEastAsia"/>
          <w:color w:val="auto"/>
          <w:sz w:val="24"/>
          <w:szCs w:val="24"/>
          <w:highlight w:val="none"/>
          <w:lang w:val="en-US" w:eastAsia="zh-CN"/>
        </w:rPr>
        <w:t>需求的支撑</w:t>
      </w:r>
      <w:r>
        <w:rPr>
          <w:rFonts w:hint="eastAsia" w:asciiTheme="minorEastAsia" w:hAnsiTheme="minorEastAsia" w:eastAsiaTheme="minorEastAsia" w:cstheme="minorEastAsia"/>
          <w:color w:val="auto"/>
          <w:sz w:val="24"/>
          <w:szCs w:val="24"/>
          <w:highlight w:val="none"/>
          <w:lang w:val="en-US" w:eastAsia="zh-CN"/>
        </w:rPr>
        <w:t>，包括但不限于专家支持、学科建设、科研合作等；具备完善的远程病理会诊系统，可为医院提供稳定、高效的远程病理诊断支持。</w:t>
      </w:r>
    </w:p>
    <w:p w14:paraId="04694A0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b w:val="0"/>
          <w:bCs w:val="0"/>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评标指标20</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6.投标人具有病原微生物检测能力</w:t>
      </w:r>
    </w:p>
    <w:p w14:paraId="5A21854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6.1为保证本项目微生物检测服务的高效性、准确性与及时性，投标人</w:t>
      </w:r>
      <w:r>
        <w:rPr>
          <w:rFonts w:hint="eastAsia" w:asciiTheme="minorEastAsia" w:hAnsiTheme="minorEastAsia" w:cstheme="minorEastAsia"/>
          <w:b w:val="0"/>
          <w:bCs w:val="0"/>
          <w:color w:val="auto"/>
          <w:sz w:val="24"/>
          <w:szCs w:val="24"/>
          <w:highlight w:val="none"/>
          <w:lang w:val="en-US" w:eastAsia="zh-CN"/>
        </w:rPr>
        <w:t>应</w:t>
      </w:r>
      <w:r>
        <w:rPr>
          <w:rFonts w:hint="eastAsia" w:asciiTheme="minorEastAsia" w:hAnsiTheme="minorEastAsia" w:eastAsiaTheme="minorEastAsia" w:cstheme="minorEastAsia"/>
          <w:b w:val="0"/>
          <w:bCs w:val="0"/>
          <w:color w:val="auto"/>
          <w:sz w:val="24"/>
          <w:szCs w:val="24"/>
          <w:highlight w:val="none"/>
          <w:lang w:val="en-US" w:eastAsia="zh-CN"/>
        </w:rPr>
        <w:t>具备先进、完整的自动化检测能力。投标人应在服务期内配备全自动微生物检测流水线平台，该平台应能实现从样本处理到结果报告的自动化、标准化操作，以提升检测通量和质量，平台配置包含但不限于：全自动快速生物质谱检测系统、全自动细菌培养系统、全自动微生物鉴定药敏分析仪、全自动微生物样本工作单元等核心模块，以实现检测流程的全覆盖；</w:t>
      </w:r>
    </w:p>
    <w:p w14:paraId="5F66CCC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6.2</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本项目对微生物检测的</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报告出具时效性</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有严格要求，是评估服务质量的核心指标之一。中标人</w:t>
      </w:r>
      <w:r>
        <w:rPr>
          <w:rFonts w:hint="eastAsia" w:asciiTheme="minorEastAsia" w:hAnsiTheme="minorEastAsia" w:cstheme="minorEastAsia"/>
          <w:b w:val="0"/>
          <w:bCs w:val="0"/>
          <w:i w:val="0"/>
          <w:iCs w:val="0"/>
          <w:caps w:val="0"/>
          <w:color w:val="auto"/>
          <w:spacing w:val="0"/>
          <w:sz w:val="24"/>
          <w:szCs w:val="24"/>
          <w:highlight w:val="none"/>
          <w:shd w:val="clear" w:fill="FFFFFF"/>
          <w:lang w:val="en-US" w:eastAsia="zh-CN"/>
        </w:rPr>
        <w:t>应</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建立高效的检测流程与质量管理体系，以确保在接收合格样本后，</w:t>
      </w:r>
      <w:r>
        <w:rPr>
          <w:rFonts w:hint="eastAsia" w:asciiTheme="minorEastAsia" w:hAnsiTheme="minorEastAsia" w:eastAsiaTheme="minorEastAsia" w:cstheme="minorEastAsia"/>
          <w:b w:val="0"/>
          <w:bCs w:val="0"/>
          <w:color w:val="auto"/>
          <w:sz w:val="24"/>
          <w:szCs w:val="24"/>
          <w:highlight w:val="none"/>
          <w:lang w:val="en-US" w:eastAsia="zh-CN"/>
        </w:rPr>
        <w:t>能在尽可能短的时间内（例如：36小时内）出具阳性检测报告，为临床诊断提供快速、准确的依据。</w:t>
      </w:r>
    </w:p>
    <w:p w14:paraId="0257DDE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z w:val="24"/>
          <w:szCs w:val="24"/>
          <w:highlight w:val="none"/>
          <w:lang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评标指标21</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7.投标人应具备支持检验科科室发展及人才梯队建设的能力，协助安排相关人员进行现场学习及培训；具备较强的学科建设能力</w:t>
      </w:r>
      <w:r>
        <w:rPr>
          <w:rFonts w:hint="eastAsia" w:asciiTheme="minorEastAsia" w:hAnsiTheme="minorEastAsia" w:eastAsiaTheme="minorEastAsia" w:cstheme="minorEastAsia"/>
          <w:color w:val="auto"/>
          <w:sz w:val="24"/>
          <w:szCs w:val="24"/>
          <w:highlight w:val="none"/>
          <w:lang w:eastAsia="zh-CN"/>
        </w:rPr>
        <w:t>。</w:t>
      </w:r>
    </w:p>
    <w:p w14:paraId="78727C9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2" w:firstLineChars="200"/>
        <w:rPr>
          <w:rFonts w:hint="eastAsia" w:asciiTheme="minorEastAsia" w:hAnsiTheme="minorEastAsia" w:eastAsiaTheme="minorEastAsia" w:cstheme="minorEastAsia"/>
          <w:color w:val="auto"/>
          <w:sz w:val="24"/>
          <w:szCs w:val="24"/>
          <w:highlight w:val="none"/>
          <w:lang w:val="en-US" w:eastAsia="zh-CN"/>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评标指标22</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8.投标人需具备检验、病理学科建设资源，能与医院开展检验、病理学科科研协作（包括联合申报科研项目、共同开展技术攻关、人才培养等）；以助力医院开展检验、病理技术成果转化与高水平科研项目，提升检验、病理学科核心竞争力，满足医院检验、病理重点学科建设要求。</w:t>
      </w:r>
    </w:p>
    <w:p w14:paraId="70C7773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2" w:firstLineChars="200"/>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评标指标23</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9.</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为确保本项目能够获得</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稳定、高效、专业</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的远程病理技术服务支持，投标人</w:t>
      </w:r>
      <w:r>
        <w:rPr>
          <w:rFonts w:hint="eastAsia" w:asciiTheme="minorEastAsia" w:hAnsiTheme="minorEastAsia" w:cstheme="minorEastAsia"/>
          <w:b w:val="0"/>
          <w:bCs w:val="0"/>
          <w:i w:val="0"/>
          <w:iCs w:val="0"/>
          <w:caps w:val="0"/>
          <w:color w:val="auto"/>
          <w:spacing w:val="0"/>
          <w:sz w:val="24"/>
          <w:szCs w:val="24"/>
          <w:highlight w:val="none"/>
          <w:shd w:val="clear" w:fill="FFFFFF"/>
          <w:lang w:val="en-US" w:eastAsia="zh-CN"/>
        </w:rPr>
        <w:t>应</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具备成熟的远程病理技术服务能力</w:t>
      </w:r>
      <w:r>
        <w:rPr>
          <w:rFonts w:hint="eastAsia" w:asciiTheme="minorEastAsia" w:hAnsiTheme="minorEastAsia" w:cstheme="minorEastAsia"/>
          <w:b w:val="0"/>
          <w:bCs w:val="0"/>
          <w:i w:val="0"/>
          <w:iCs w:val="0"/>
          <w:caps w:val="0"/>
          <w:color w:val="auto"/>
          <w:spacing w:val="0"/>
          <w:sz w:val="24"/>
          <w:szCs w:val="24"/>
          <w:highlight w:val="none"/>
          <w:shd w:val="clear" w:fill="FFFFFF"/>
          <w:lang w:eastAsia="zh-CN"/>
        </w:rPr>
        <w:t>、</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先进、可靠的远程病理会诊相关系统平台</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，能够为</w:t>
      </w:r>
      <w:r>
        <w:rPr>
          <w:rFonts w:hint="eastAsia" w:asciiTheme="minorEastAsia" w:hAnsiTheme="minorEastAsia" w:cstheme="minorEastAsia"/>
          <w:b w:val="0"/>
          <w:bCs w:val="0"/>
          <w:i w:val="0"/>
          <w:iCs w:val="0"/>
          <w:caps w:val="0"/>
          <w:color w:val="auto"/>
          <w:spacing w:val="0"/>
          <w:sz w:val="24"/>
          <w:szCs w:val="24"/>
          <w:highlight w:val="none"/>
          <w:shd w:val="clear" w:fill="FFFFFF"/>
          <w:lang w:val="en-US" w:eastAsia="zh-CN"/>
        </w:rPr>
        <w:t>采购人</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提供</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全流程、可追溯、安全合规</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的远程病理诊断系统支持。同时，为保障服务的响应速度、诊断质量与处理复杂病例的经验，投标人需在远程病理领域拥有</w:t>
      </w:r>
      <w:r>
        <w:rPr>
          <w:rStyle w:val="10"/>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丰富的实际服务经验与大规模成功应用案例</w:t>
      </w:r>
      <w:r>
        <w:rPr>
          <w:rFonts w:hint="eastAsia" w:asciiTheme="minorEastAsia" w:hAnsiTheme="minorEastAsia" w:eastAsiaTheme="minorEastAsia" w:cstheme="minorEastAsia"/>
          <w:b w:val="0"/>
          <w:bCs w:val="0"/>
          <w:i w:val="0"/>
          <w:iCs w:val="0"/>
          <w:caps w:val="0"/>
          <w:color w:val="auto"/>
          <w:spacing w:val="0"/>
          <w:sz w:val="24"/>
          <w:szCs w:val="24"/>
          <w:highlight w:val="none"/>
          <w:shd w:val="clear" w:fill="FFFFFF"/>
        </w:rPr>
        <w:t>。</w:t>
      </w:r>
    </w:p>
    <w:p w14:paraId="0006D19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2" w:firstLineChars="200"/>
        <w:rPr>
          <w:rFonts w:hint="eastAsia" w:asciiTheme="minorEastAsia" w:hAnsiTheme="minorEastAsia" w:eastAsiaTheme="minorEastAsia" w:cstheme="minorEastAsia"/>
          <w:color w:val="auto"/>
          <w:spacing w:val="0"/>
          <w:sz w:val="24"/>
          <w:szCs w:val="24"/>
          <w:highlight w:val="none"/>
        </w:rPr>
      </w:pPr>
      <w:r>
        <w:rPr>
          <w:rStyle w:val="10"/>
          <w:rFonts w:hint="eastAsia" w:asciiTheme="minorEastAsia" w:hAnsiTheme="minorEastAsia" w:cstheme="minorEastAsia"/>
          <w:color w:val="auto"/>
          <w:spacing w:val="0"/>
          <w:sz w:val="24"/>
          <w:szCs w:val="24"/>
          <w:highlight w:val="none"/>
          <w:lang w:eastAsia="zh-CN"/>
        </w:rPr>
        <w:t>【</w:t>
      </w:r>
      <w:r>
        <w:rPr>
          <w:rStyle w:val="10"/>
          <w:rFonts w:hint="eastAsia" w:asciiTheme="minorEastAsia" w:hAnsiTheme="minorEastAsia" w:cstheme="minorEastAsia"/>
          <w:color w:val="auto"/>
          <w:spacing w:val="0"/>
          <w:sz w:val="24"/>
          <w:szCs w:val="24"/>
          <w:highlight w:val="none"/>
          <w:lang w:val="en-US" w:eastAsia="zh-CN"/>
        </w:rPr>
        <w:t>评标指标24</w:t>
      </w:r>
      <w:r>
        <w:rPr>
          <w:rStyle w:val="10"/>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i w:val="0"/>
          <w:iCs w:val="0"/>
          <w:caps w:val="0"/>
          <w:color w:val="auto"/>
          <w:spacing w:val="0"/>
          <w:sz w:val="24"/>
          <w:szCs w:val="24"/>
          <w:highlight w:val="none"/>
          <w:shd w:val="clear" w:fill="FFFFFF"/>
          <w:lang w:val="en-US" w:eastAsia="zh-CN"/>
        </w:rPr>
        <w:t>10.</w:t>
      </w:r>
      <w:r>
        <w:rPr>
          <w:rFonts w:hint="eastAsia" w:asciiTheme="minorEastAsia" w:hAnsiTheme="minorEastAsia" w:eastAsiaTheme="minorEastAsia" w:cstheme="minorEastAsia"/>
          <w:color w:val="auto"/>
          <w:sz w:val="24"/>
          <w:szCs w:val="24"/>
          <w:highlight w:val="none"/>
          <w:lang w:val="en-US" w:eastAsia="zh-CN"/>
        </w:rPr>
        <w:t>投标人承接服务的实验室拥有完善的病理技术平台，包括细胞病理、组织病理、分子病理、远程病理等；投标人拥有丰富远程病理诊断服务经验和良好运营能力；可提供良好的临床病理学术沟通平台，协助解决病理疑难病例</w:t>
      </w:r>
      <w:r>
        <w:rPr>
          <w:rFonts w:hint="eastAsia" w:asciiTheme="minorEastAsia" w:hAnsiTheme="minorEastAsia" w:eastAsiaTheme="minorEastAsia" w:cstheme="minorEastAsia"/>
          <w:color w:val="auto"/>
          <w:spacing w:val="0"/>
          <w:sz w:val="24"/>
          <w:szCs w:val="24"/>
          <w:highlight w:val="none"/>
        </w:rPr>
        <w:t>。</w:t>
      </w:r>
    </w:p>
    <w:p w14:paraId="6A6AE0A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rPr>
          <w:rStyle w:val="10"/>
          <w:rFonts w:hint="eastAsia" w:asciiTheme="minorEastAsia" w:hAnsiTheme="minorEastAsia" w:eastAsiaTheme="minorEastAsia" w:cstheme="minorEastAsia"/>
          <w:color w:val="auto"/>
          <w:spacing w:val="0"/>
          <w:sz w:val="24"/>
          <w:szCs w:val="24"/>
          <w:highlight w:val="none"/>
          <w:lang w:val="en-US"/>
        </w:rPr>
      </w:pP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val="en-US" w:eastAsia="zh-CN"/>
        </w:rPr>
        <w:t>八</w:t>
      </w:r>
      <w:r>
        <w:rPr>
          <w:rStyle w:val="10"/>
          <w:rFonts w:hint="eastAsia" w:asciiTheme="minorEastAsia" w:hAnsiTheme="minorEastAsia" w:eastAsiaTheme="minorEastAsia" w:cstheme="minorEastAsia"/>
          <w:color w:val="auto"/>
          <w:spacing w:val="0"/>
          <w:sz w:val="24"/>
          <w:szCs w:val="24"/>
          <w:highlight w:val="none"/>
        </w:rPr>
        <w:t>）</w:t>
      </w:r>
      <w:r>
        <w:rPr>
          <w:rStyle w:val="10"/>
          <w:rFonts w:hint="eastAsia" w:asciiTheme="minorEastAsia" w:hAnsiTheme="minorEastAsia" w:eastAsiaTheme="minorEastAsia" w:cstheme="minorEastAsia"/>
          <w:color w:val="auto"/>
          <w:spacing w:val="0"/>
          <w:sz w:val="24"/>
          <w:szCs w:val="24"/>
          <w:highlight w:val="none"/>
          <w:lang w:val="en-US" w:eastAsia="zh-CN"/>
        </w:rPr>
        <w:t>项目人员要求</w:t>
      </w:r>
    </w:p>
    <w:p w14:paraId="27CFBBE2">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Theme="minorEastAsia" w:hAnsiTheme="minorEastAsia" w:eastAsiaTheme="minorEastAsia" w:cstheme="minorEastAsia"/>
          <w:color w:val="auto"/>
          <w:sz w:val="24"/>
          <w:szCs w:val="24"/>
          <w:highlight w:val="none"/>
          <w:lang w:val="en-US" w:eastAsia="zh-CN"/>
        </w:rPr>
        <w:t>投标人需针对本项目组建运营团队提供服务，</w:t>
      </w:r>
      <w:r>
        <w:rPr>
          <w:rFonts w:hint="eastAsia" w:asciiTheme="minorEastAsia" w:hAnsiTheme="minorEastAsia" w:eastAsiaTheme="minorEastAsia" w:cstheme="minorEastAsia"/>
          <w:color w:val="auto"/>
          <w:spacing w:val="0"/>
          <w:sz w:val="24"/>
          <w:szCs w:val="24"/>
          <w:highlight w:val="none"/>
          <w:lang w:val="en-US" w:eastAsia="zh-CN"/>
        </w:rPr>
        <w:t>为武平县总医院引入国内或省内知名病理专家1名作为中心的学科带头人，专家费用由投标人承担；需长期派驻1名病理技术员、1名取材助理医生，协助病理中心日常工作开展。</w:t>
      </w:r>
    </w:p>
    <w:p w14:paraId="1BABEB99">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b/>
          <w:sz w:val="24"/>
          <w:szCs w:val="24"/>
        </w:rPr>
      </w:pPr>
    </w:p>
    <w:p w14:paraId="2EB4F9CF">
      <w:pPr>
        <w:rPr>
          <w:rFonts w:hint="eastAsia" w:ascii="宋体" w:hAnsi="宋体" w:eastAsia="宋体" w:cs="宋体"/>
          <w:b/>
          <w:sz w:val="24"/>
          <w:szCs w:val="24"/>
        </w:rPr>
      </w:pPr>
      <w:r>
        <w:rPr>
          <w:rFonts w:hint="eastAsia" w:ascii="宋体" w:hAnsi="宋体" w:eastAsia="宋体" w:cs="宋体"/>
          <w:b/>
          <w:sz w:val="24"/>
          <w:szCs w:val="24"/>
        </w:rPr>
        <w:br w:type="page"/>
      </w:r>
    </w:p>
    <w:p w14:paraId="7A693540">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三、商务要求（以“★”标示的内容为不允许负偏离的实质性要求）</w:t>
      </w:r>
    </w:p>
    <w:p w14:paraId="34A4295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w:t>
      </w:r>
    </w:p>
    <w:tbl>
      <w:tblPr>
        <w:tblStyle w:val="8"/>
        <w:tblW w:w="4998"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61"/>
        <w:gridCol w:w="884"/>
        <w:gridCol w:w="1619"/>
        <w:gridCol w:w="5874"/>
      </w:tblGrid>
      <w:tr w14:paraId="34C530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63DC014C">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478" w:type="pct"/>
            <w:vAlign w:val="center"/>
          </w:tcPr>
          <w:p w14:paraId="3F7D1C1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参数性质</w:t>
            </w:r>
          </w:p>
        </w:tc>
        <w:tc>
          <w:tcPr>
            <w:tcW w:w="876" w:type="pct"/>
            <w:vAlign w:val="center"/>
          </w:tcPr>
          <w:p w14:paraId="0B06A61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类型</w:t>
            </w:r>
          </w:p>
        </w:tc>
        <w:tc>
          <w:tcPr>
            <w:tcW w:w="3178" w:type="pct"/>
            <w:vAlign w:val="center"/>
          </w:tcPr>
          <w:p w14:paraId="3D641C0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要求</w:t>
            </w:r>
          </w:p>
        </w:tc>
      </w:tr>
      <w:tr w14:paraId="06E6E7B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14AC538B">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478" w:type="pct"/>
            <w:vAlign w:val="center"/>
          </w:tcPr>
          <w:p w14:paraId="48627886">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876" w:type="pct"/>
            <w:vAlign w:val="center"/>
          </w:tcPr>
          <w:p w14:paraId="2DC3E676">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交货时间</w:t>
            </w:r>
          </w:p>
        </w:tc>
        <w:tc>
          <w:tcPr>
            <w:tcW w:w="3178" w:type="pct"/>
            <w:vAlign w:val="center"/>
          </w:tcPr>
          <w:p w14:paraId="2476C5D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yellow"/>
              </w:rPr>
            </w:pPr>
            <w:r>
              <w:rPr>
                <w:rFonts w:hint="eastAsia" w:asciiTheme="minorEastAsia" w:hAnsiTheme="minorEastAsia" w:cstheme="minorEastAsia"/>
                <w:b w:val="0"/>
                <w:bCs w:val="0"/>
                <w:color w:val="auto"/>
                <w:sz w:val="24"/>
                <w:szCs w:val="24"/>
                <w:highlight w:val="none"/>
                <w:lang w:val="en-US" w:eastAsia="zh-CN"/>
              </w:rPr>
              <w:t>本项目为一签多年项目，总服务年限3年，合同一年一签。</w:t>
            </w:r>
          </w:p>
        </w:tc>
      </w:tr>
      <w:tr w14:paraId="77593F7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739ED95E">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478" w:type="pct"/>
            <w:vAlign w:val="center"/>
          </w:tcPr>
          <w:p w14:paraId="60FF4C5F">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876" w:type="pct"/>
            <w:vAlign w:val="center"/>
          </w:tcPr>
          <w:p w14:paraId="6B4D3462">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交货地点</w:t>
            </w:r>
          </w:p>
        </w:tc>
        <w:tc>
          <w:tcPr>
            <w:tcW w:w="3178" w:type="pct"/>
            <w:vAlign w:val="center"/>
          </w:tcPr>
          <w:p w14:paraId="1836150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yellow"/>
              </w:rPr>
            </w:pPr>
            <w:r>
              <w:rPr>
                <w:rStyle w:val="10"/>
                <w:rFonts w:hint="eastAsia" w:asciiTheme="minorEastAsia" w:hAnsiTheme="minorEastAsia" w:eastAsiaTheme="minorEastAsia" w:cstheme="minorEastAsia"/>
                <w:b w:val="0"/>
                <w:bCs/>
                <w:color w:val="auto"/>
                <w:spacing w:val="0"/>
                <w:sz w:val="24"/>
                <w:szCs w:val="24"/>
                <w:highlight w:val="none"/>
                <w:lang w:val="en-US" w:eastAsia="zh-CN"/>
              </w:rPr>
              <w:t>采购人指定地址</w:t>
            </w:r>
            <w:r>
              <w:rPr>
                <w:rStyle w:val="10"/>
                <w:rFonts w:hint="eastAsia" w:asciiTheme="minorEastAsia" w:hAnsiTheme="minorEastAsia" w:cstheme="minorEastAsia"/>
                <w:b w:val="0"/>
                <w:bCs/>
                <w:color w:val="auto"/>
                <w:spacing w:val="0"/>
                <w:sz w:val="24"/>
                <w:szCs w:val="24"/>
                <w:highlight w:val="none"/>
                <w:lang w:val="en-US" w:eastAsia="zh-CN"/>
              </w:rPr>
              <w:t>（武平县）</w:t>
            </w:r>
          </w:p>
        </w:tc>
      </w:tr>
      <w:tr w14:paraId="7CFB89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6D26618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78" w:type="pct"/>
            <w:vAlign w:val="center"/>
          </w:tcPr>
          <w:p w14:paraId="49383AA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876" w:type="pct"/>
            <w:vAlign w:val="center"/>
          </w:tcPr>
          <w:p w14:paraId="5E5BCB7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交货条件</w:t>
            </w:r>
          </w:p>
        </w:tc>
        <w:tc>
          <w:tcPr>
            <w:tcW w:w="3178" w:type="pct"/>
            <w:vAlign w:val="center"/>
          </w:tcPr>
          <w:p w14:paraId="3A2D4B2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default" w:ascii="宋体" w:hAnsi="宋体" w:eastAsia="宋体" w:cs="宋体"/>
                <w:sz w:val="24"/>
                <w:szCs w:val="24"/>
                <w:highlight w:val="yellow"/>
                <w:lang w:val="en-US" w:eastAsia="zh-CN"/>
              </w:rPr>
            </w:pPr>
            <w:r>
              <w:rPr>
                <w:rStyle w:val="10"/>
                <w:rFonts w:hint="eastAsia" w:asciiTheme="minorEastAsia" w:hAnsiTheme="minorEastAsia" w:cstheme="minorEastAsia"/>
                <w:b w:val="0"/>
                <w:bCs/>
                <w:color w:val="auto"/>
                <w:spacing w:val="0"/>
                <w:sz w:val="24"/>
                <w:szCs w:val="24"/>
                <w:highlight w:val="none"/>
                <w:lang w:val="en-US" w:eastAsia="zh-CN"/>
              </w:rPr>
              <w:t>验收合格</w:t>
            </w:r>
          </w:p>
        </w:tc>
      </w:tr>
      <w:tr w14:paraId="05B0EDF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70BB0EF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478" w:type="pct"/>
            <w:vAlign w:val="center"/>
          </w:tcPr>
          <w:p w14:paraId="53D846F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p>
        </w:tc>
        <w:tc>
          <w:tcPr>
            <w:tcW w:w="876" w:type="pct"/>
            <w:vAlign w:val="center"/>
          </w:tcPr>
          <w:p w14:paraId="42CBDD33">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是否邀请投标人验收</w:t>
            </w:r>
          </w:p>
        </w:tc>
        <w:tc>
          <w:tcPr>
            <w:tcW w:w="3178" w:type="pct"/>
            <w:vAlign w:val="center"/>
          </w:tcPr>
          <w:p w14:paraId="4433B0C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yellow"/>
              </w:rPr>
            </w:pPr>
            <w:r>
              <w:rPr>
                <w:rFonts w:hint="eastAsia" w:ascii="宋体" w:hAnsi="宋体" w:eastAsia="宋体" w:cs="宋体"/>
                <w:sz w:val="24"/>
                <w:szCs w:val="24"/>
                <w:highlight w:val="none"/>
              </w:rPr>
              <w:t>不邀请投标人验收</w:t>
            </w:r>
          </w:p>
        </w:tc>
      </w:tr>
      <w:tr w14:paraId="3661E0E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3E0A688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478" w:type="pct"/>
            <w:vAlign w:val="center"/>
          </w:tcPr>
          <w:p w14:paraId="23963721">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876" w:type="pct"/>
            <w:vAlign w:val="center"/>
          </w:tcPr>
          <w:p w14:paraId="7E12F5D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履约验收方式</w:t>
            </w:r>
          </w:p>
        </w:tc>
        <w:tc>
          <w:tcPr>
            <w:tcW w:w="3178" w:type="pct"/>
            <w:vAlign w:val="center"/>
          </w:tcPr>
          <w:p w14:paraId="792D6E1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yellow"/>
              </w:rPr>
            </w:pPr>
            <w:r>
              <w:rPr>
                <w:rStyle w:val="10"/>
                <w:rFonts w:hint="eastAsia" w:asciiTheme="minorEastAsia" w:hAnsiTheme="minorEastAsia" w:eastAsiaTheme="minorEastAsia" w:cstheme="minorEastAsia"/>
                <w:b w:val="0"/>
                <w:bCs/>
                <w:color w:val="auto"/>
                <w:spacing w:val="0"/>
                <w:sz w:val="24"/>
                <w:szCs w:val="24"/>
                <w:highlight w:val="none"/>
              </w:rPr>
              <w:t>按照招标文件要求、投标文件及合同约定事项</w:t>
            </w:r>
          </w:p>
        </w:tc>
      </w:tr>
      <w:tr w14:paraId="61A01B3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4FF53D10">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478" w:type="pct"/>
            <w:vAlign w:val="center"/>
          </w:tcPr>
          <w:p w14:paraId="440756BF">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876" w:type="pct"/>
            <w:vAlign w:val="center"/>
          </w:tcPr>
          <w:p w14:paraId="737F57EB">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合同支付方式</w:t>
            </w:r>
          </w:p>
        </w:tc>
        <w:tc>
          <w:tcPr>
            <w:tcW w:w="3178" w:type="pct"/>
            <w:vAlign w:val="center"/>
          </w:tcPr>
          <w:p w14:paraId="02A62B7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val="en-US" w:eastAsia="zh-CN" w:bidi="ar"/>
              </w:rPr>
              <w:t xml:space="preserve">货款及服务费用的计算： </w:t>
            </w:r>
          </w:p>
          <w:p w14:paraId="696ECA5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val="en-US" w:eastAsia="zh-CN" w:bidi="ar"/>
              </w:rPr>
              <w:t>1.中标后，按医院LIS系统的检验收入*</w:t>
            </w:r>
            <w:r>
              <w:rPr>
                <w:rFonts w:hint="eastAsia" w:asciiTheme="minorEastAsia" w:hAnsiTheme="minorEastAsia" w:cstheme="minorEastAsia"/>
                <w:color w:val="auto"/>
                <w:kern w:val="0"/>
                <w:sz w:val="24"/>
                <w:szCs w:val="24"/>
                <w:highlight w:val="none"/>
                <w:lang w:val="en-US" w:eastAsia="zh-CN" w:bidi="ar"/>
              </w:rPr>
              <w:t>中标</w:t>
            </w:r>
            <w:r>
              <w:rPr>
                <w:rFonts w:hint="eastAsia" w:asciiTheme="minorEastAsia" w:hAnsiTheme="minorEastAsia" w:eastAsiaTheme="minorEastAsia" w:cstheme="minorEastAsia"/>
                <w:color w:val="auto"/>
                <w:kern w:val="0"/>
                <w:sz w:val="24"/>
                <w:szCs w:val="24"/>
                <w:highlight w:val="none"/>
                <w:lang w:val="en-US" w:eastAsia="zh-CN" w:bidi="ar"/>
              </w:rPr>
              <w:t>结算比例；</w:t>
            </w:r>
          </w:p>
          <w:p w14:paraId="7195896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val="en-US" w:eastAsia="zh-CN" w:bidi="ar"/>
              </w:rPr>
              <w:t>2.服务费的结算为每月结算一次，年终总决算。</w:t>
            </w:r>
          </w:p>
          <w:p w14:paraId="0181321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yellow"/>
              </w:rPr>
            </w:pPr>
            <w:r>
              <w:rPr>
                <w:rFonts w:hint="eastAsia" w:asciiTheme="minorEastAsia" w:hAnsiTheme="minorEastAsia" w:eastAsiaTheme="minorEastAsia" w:cstheme="minorEastAsia"/>
                <w:color w:val="auto"/>
                <w:kern w:val="0"/>
                <w:sz w:val="24"/>
                <w:szCs w:val="24"/>
                <w:highlight w:val="none"/>
                <w:lang w:val="en-US" w:eastAsia="zh-CN" w:bidi="ar"/>
              </w:rPr>
              <w:t>3.年终总决算所依据的</w:t>
            </w:r>
            <w:r>
              <w:rPr>
                <w:rFonts w:hint="eastAsia" w:asciiTheme="minorEastAsia" w:hAnsiTheme="minorEastAsia" w:cstheme="minorEastAsia"/>
                <w:color w:val="auto"/>
                <w:kern w:val="0"/>
                <w:sz w:val="24"/>
                <w:szCs w:val="24"/>
                <w:highlight w:val="none"/>
                <w:lang w:val="en-US" w:eastAsia="zh-CN" w:bidi="ar"/>
              </w:rPr>
              <w:t>采购人</w:t>
            </w:r>
            <w:r>
              <w:rPr>
                <w:rFonts w:hint="eastAsia" w:asciiTheme="minorEastAsia" w:hAnsiTheme="minorEastAsia" w:eastAsiaTheme="minorEastAsia" w:cstheme="minorEastAsia"/>
                <w:color w:val="auto"/>
                <w:kern w:val="0"/>
                <w:sz w:val="24"/>
                <w:szCs w:val="24"/>
                <w:highlight w:val="none"/>
                <w:lang w:val="en-US" w:eastAsia="zh-CN" w:bidi="ar"/>
              </w:rPr>
              <w:t>相关的数据（由LIS系统和HIS系统相结合进行提取）与月度结算所依据的相关数据存在差异的，该差异部分需最终取得双方书面确认后，再对货款及服务费进行总体结算。</w:t>
            </w:r>
          </w:p>
        </w:tc>
      </w:tr>
      <w:tr w14:paraId="626518E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6" w:type="pct"/>
            <w:vAlign w:val="center"/>
          </w:tcPr>
          <w:p w14:paraId="01BB55BF">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478" w:type="pct"/>
            <w:vAlign w:val="center"/>
          </w:tcPr>
          <w:p w14:paraId="090D35F9">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876" w:type="pct"/>
            <w:vAlign w:val="center"/>
          </w:tcPr>
          <w:p w14:paraId="3D28192E">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履约保证金</w:t>
            </w:r>
          </w:p>
        </w:tc>
        <w:tc>
          <w:tcPr>
            <w:tcW w:w="3178" w:type="pct"/>
          </w:tcPr>
          <w:p w14:paraId="099A597C">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本采购包履约保证金为合同金额的</w:t>
            </w:r>
            <w:r>
              <w:rPr>
                <w:rFonts w:hint="eastAsia" w:ascii="宋体" w:hAnsi="宋体" w:eastAsia="宋体" w:cs="宋体"/>
                <w:sz w:val="24"/>
                <w:szCs w:val="24"/>
                <w:lang w:val="en-US" w:eastAsia="zh-CN"/>
              </w:rPr>
              <w:t>6</w:t>
            </w:r>
            <w:r>
              <w:rPr>
                <w:rFonts w:hint="eastAsia" w:ascii="宋体" w:hAnsi="宋体" w:eastAsia="宋体" w:cs="宋体"/>
                <w:sz w:val="24"/>
                <w:szCs w:val="24"/>
              </w:rPr>
              <w:t>%</w:t>
            </w:r>
          </w:p>
          <w:p w14:paraId="60C70AD6">
            <w:pPr>
              <w:pStyle w:val="11"/>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sz w:val="24"/>
                <w:szCs w:val="24"/>
              </w:rPr>
              <w:t>缴纳方式：银行转账，支票/汇票/本票，保函/保险</w:t>
            </w:r>
          </w:p>
          <w:p w14:paraId="461059F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说明：合同签订前中标人须向采购人缴纳履约保证金</w:t>
            </w:r>
            <w:r>
              <w:rPr>
                <w:rFonts w:hint="eastAsia" w:ascii="宋体" w:hAnsi="宋体" w:eastAsia="宋体" w:cs="宋体"/>
                <w:sz w:val="24"/>
                <w:szCs w:val="24"/>
                <w:lang w:val="en-US" w:eastAsia="zh-CN"/>
              </w:rPr>
              <w:t>1</w:t>
            </w:r>
            <w:r>
              <w:rPr>
                <w:rFonts w:hint="eastAsia" w:ascii="宋体" w:hAnsi="宋体" w:eastAsia="宋体" w:cs="宋体"/>
                <w:sz w:val="24"/>
                <w:szCs w:val="24"/>
              </w:rPr>
              <w:t>00万元【本项目</w:t>
            </w:r>
            <w:r>
              <w:rPr>
                <w:rFonts w:hint="eastAsia" w:ascii="宋体" w:hAnsi="宋体" w:eastAsia="宋体" w:cs="宋体"/>
                <w:sz w:val="24"/>
                <w:szCs w:val="24"/>
                <w:lang w:val="en-US" w:eastAsia="zh-CN"/>
              </w:rPr>
              <w:t>以</w:t>
            </w:r>
            <w:r>
              <w:rPr>
                <w:rFonts w:hint="eastAsia" w:ascii="宋体" w:hAnsi="宋体" w:eastAsia="宋体" w:cs="宋体"/>
                <w:sz w:val="24"/>
                <w:szCs w:val="24"/>
              </w:rPr>
              <w:t>要求合同分包</w:t>
            </w:r>
            <w:r>
              <w:rPr>
                <w:rFonts w:hint="eastAsia" w:ascii="宋体" w:hAnsi="宋体" w:eastAsia="宋体" w:cs="宋体"/>
                <w:sz w:val="24"/>
                <w:szCs w:val="24"/>
                <w:lang w:val="en-US" w:eastAsia="zh-CN"/>
              </w:rPr>
              <w:t>形式向</w:t>
            </w:r>
            <w:r>
              <w:rPr>
                <w:rFonts w:hint="eastAsia" w:ascii="宋体" w:hAnsi="宋体" w:eastAsia="宋体" w:cs="宋体"/>
                <w:sz w:val="24"/>
                <w:szCs w:val="24"/>
              </w:rPr>
              <w:t>中小企业</w:t>
            </w:r>
            <w:r>
              <w:rPr>
                <w:rFonts w:hint="eastAsia" w:ascii="宋体" w:hAnsi="宋体" w:eastAsia="宋体" w:cs="宋体"/>
                <w:sz w:val="24"/>
                <w:szCs w:val="24"/>
                <w:lang w:val="en-US" w:eastAsia="zh-CN"/>
              </w:rPr>
              <w:t>整体预留形式</w:t>
            </w:r>
            <w:r>
              <w:rPr>
                <w:rFonts w:hint="eastAsia" w:ascii="宋体" w:hAnsi="宋体" w:eastAsia="宋体" w:cs="宋体"/>
                <w:sz w:val="24"/>
                <w:szCs w:val="24"/>
              </w:rPr>
              <w:t>采购项目，根据《福建省财政厅关于进一步加大政府采购支持中小企业力度的通知》规定，若本项目</w:t>
            </w:r>
            <w:r>
              <w:rPr>
                <w:rFonts w:hint="eastAsia" w:ascii="宋体" w:hAnsi="宋体" w:eastAsia="宋体" w:cs="宋体"/>
                <w:sz w:val="24"/>
                <w:szCs w:val="24"/>
                <w:lang w:val="en-US" w:eastAsia="zh-CN"/>
              </w:rPr>
              <w:t>中标人</w:t>
            </w:r>
            <w:r>
              <w:rPr>
                <w:rFonts w:hint="eastAsia" w:ascii="宋体" w:hAnsi="宋体" w:eastAsia="宋体" w:cs="宋体"/>
                <w:sz w:val="24"/>
                <w:szCs w:val="24"/>
              </w:rPr>
              <w:t>为中</w:t>
            </w:r>
            <w:r>
              <w:rPr>
                <w:rFonts w:hint="eastAsia" w:ascii="宋体" w:hAnsi="宋体" w:eastAsia="宋体" w:cs="宋体"/>
                <w:sz w:val="24"/>
                <w:szCs w:val="24"/>
                <w:lang w:val="en-US" w:eastAsia="zh-CN"/>
              </w:rPr>
              <w:t>小</w:t>
            </w:r>
            <w:r>
              <w:rPr>
                <w:rFonts w:hint="eastAsia" w:ascii="宋体" w:hAnsi="宋体" w:eastAsia="宋体" w:cs="宋体"/>
                <w:sz w:val="24"/>
                <w:szCs w:val="24"/>
              </w:rPr>
              <w:t>企业的，履约保证金按30万元收取】，履约保证金以支票、汇票、本票或者金融机构、担保机构出具的保函等非现金形式向采购人缴交，履约保证金的</w:t>
            </w:r>
            <w:r>
              <w:rPr>
                <w:rFonts w:hint="eastAsia" w:ascii="宋体" w:hAnsi="宋体" w:eastAsia="宋体" w:cs="宋体"/>
                <w:sz w:val="24"/>
                <w:szCs w:val="24"/>
                <w:lang w:val="en-US" w:eastAsia="zh-CN"/>
              </w:rPr>
              <w:t>50</w:t>
            </w:r>
            <w:r>
              <w:rPr>
                <w:rFonts w:hint="eastAsia" w:ascii="宋体" w:hAnsi="宋体" w:eastAsia="宋体" w:cs="宋体"/>
                <w:sz w:val="24"/>
                <w:szCs w:val="24"/>
              </w:rPr>
              <w:t>%待实验室改造</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所有设备（包括信息化系统）完成试调达到合格使用条件</w:t>
            </w:r>
            <w:r>
              <w:rPr>
                <w:rFonts w:hint="eastAsia" w:ascii="宋体" w:hAnsi="宋体" w:eastAsia="宋体" w:cs="宋体"/>
                <w:sz w:val="24"/>
                <w:szCs w:val="24"/>
              </w:rPr>
              <w:t>后30天内无息退还</w:t>
            </w:r>
            <w:r>
              <w:rPr>
                <w:rFonts w:hint="eastAsia" w:ascii="宋体" w:hAnsi="宋体" w:eastAsia="宋体" w:cs="宋体"/>
                <w:sz w:val="24"/>
                <w:szCs w:val="24"/>
                <w:lang w:eastAsia="zh-CN"/>
              </w:rPr>
              <w:t>；</w:t>
            </w:r>
            <w:r>
              <w:rPr>
                <w:rFonts w:hint="eastAsia" w:ascii="宋体" w:hAnsi="宋体" w:eastAsia="宋体" w:cs="宋体"/>
                <w:sz w:val="24"/>
                <w:szCs w:val="24"/>
              </w:rPr>
              <w:t>履约保证金的</w:t>
            </w:r>
            <w:r>
              <w:rPr>
                <w:rFonts w:hint="eastAsia" w:ascii="宋体" w:hAnsi="宋体" w:eastAsia="宋体" w:cs="宋体"/>
                <w:sz w:val="24"/>
                <w:szCs w:val="24"/>
                <w:lang w:val="en-US" w:eastAsia="zh-CN"/>
              </w:rPr>
              <w:t>50</w:t>
            </w:r>
            <w:r>
              <w:rPr>
                <w:rFonts w:hint="eastAsia" w:ascii="宋体" w:hAnsi="宋体" w:eastAsia="宋体" w:cs="宋体"/>
                <w:sz w:val="24"/>
                <w:szCs w:val="24"/>
              </w:rPr>
              <w:t>%待合同内项目全部履约完成后30天内无息退还。本项目为一签多年项目，履约保证金一次收取，全项目期间延用</w:t>
            </w:r>
            <w:r>
              <w:rPr>
                <w:rFonts w:hint="eastAsia" w:ascii="宋体" w:hAnsi="宋体" w:eastAsia="宋体" w:cs="宋体"/>
                <w:sz w:val="24"/>
                <w:szCs w:val="24"/>
                <w:lang w:eastAsia="zh-CN"/>
              </w:rPr>
              <w:t>。</w:t>
            </w:r>
            <w:r>
              <w:rPr>
                <w:rFonts w:hint="eastAsia" w:ascii="宋体" w:hAnsi="宋体" w:eastAsia="宋体" w:cs="宋体"/>
                <w:sz w:val="24"/>
                <w:szCs w:val="24"/>
              </w:rPr>
              <w:t>如</w:t>
            </w:r>
            <w:r>
              <w:rPr>
                <w:rFonts w:hint="eastAsia" w:ascii="宋体" w:hAnsi="宋体" w:eastAsia="宋体" w:cs="宋体"/>
                <w:sz w:val="24"/>
                <w:szCs w:val="24"/>
                <w:lang w:val="en-US" w:eastAsia="zh-CN"/>
              </w:rPr>
              <w:t>中标人</w:t>
            </w:r>
            <w:r>
              <w:rPr>
                <w:rFonts w:hint="eastAsia" w:ascii="宋体" w:hAnsi="宋体" w:eastAsia="宋体" w:cs="宋体"/>
                <w:sz w:val="24"/>
                <w:szCs w:val="24"/>
              </w:rPr>
              <w:t>未按合同有关规定履行其义务，采购人有权扣除履约保证金，用以补偿。【履约保证金以保函形式提交的，应为银行</w:t>
            </w:r>
            <w:r>
              <w:rPr>
                <w:rFonts w:hint="eastAsia" w:ascii="宋体" w:hAnsi="宋体" w:eastAsia="宋体" w:cs="宋体"/>
                <w:sz w:val="24"/>
                <w:szCs w:val="24"/>
                <w:lang w:val="en-US" w:eastAsia="zh-CN"/>
              </w:rPr>
              <w:t>或保险机构出具的</w:t>
            </w:r>
            <w:r>
              <w:rPr>
                <w:rFonts w:hint="eastAsia" w:ascii="宋体" w:hAnsi="宋体" w:eastAsia="宋体" w:cs="宋体"/>
                <w:sz w:val="24"/>
                <w:szCs w:val="24"/>
              </w:rPr>
              <w:t>无条件支付保函，并且保函有效期要涵盖整个合同有效期。】</w:t>
            </w:r>
          </w:p>
        </w:tc>
      </w:tr>
    </w:tbl>
    <w:p w14:paraId="0DDDF79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其他商务要求</w:t>
      </w:r>
    </w:p>
    <w:p w14:paraId="0DB38EE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★其他商务要求</w:t>
      </w:r>
    </w:p>
    <w:p w14:paraId="0BB3D39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rPr>
          <w:rStyle w:val="10"/>
          <w:rFonts w:hint="eastAsia" w:asciiTheme="minorEastAsia" w:hAnsiTheme="minorEastAsia" w:eastAsiaTheme="minorEastAsia" w:cstheme="minorEastAsia"/>
          <w:color w:val="auto"/>
          <w:spacing w:val="0"/>
          <w:sz w:val="24"/>
          <w:szCs w:val="24"/>
          <w:highlight w:val="none"/>
        </w:rPr>
      </w:pPr>
      <w:r>
        <w:rPr>
          <w:rStyle w:val="10"/>
          <w:rFonts w:hint="eastAsia" w:asciiTheme="minorEastAsia" w:hAnsiTheme="minorEastAsia" w:eastAsiaTheme="minorEastAsia" w:cstheme="minorEastAsia"/>
          <w:color w:val="auto"/>
          <w:spacing w:val="0"/>
          <w:sz w:val="24"/>
          <w:szCs w:val="24"/>
          <w:highlight w:val="none"/>
          <w:lang w:val="en-US" w:eastAsia="zh-CN"/>
        </w:rPr>
        <w:t>8、</w:t>
      </w:r>
      <w:r>
        <w:rPr>
          <w:rStyle w:val="10"/>
          <w:rFonts w:hint="eastAsia" w:asciiTheme="minorEastAsia" w:hAnsiTheme="minorEastAsia" w:eastAsiaTheme="minorEastAsia" w:cstheme="minorEastAsia"/>
          <w:color w:val="auto"/>
          <w:spacing w:val="0"/>
          <w:sz w:val="24"/>
          <w:szCs w:val="24"/>
          <w:highlight w:val="none"/>
        </w:rPr>
        <w:t>售后服务要求</w:t>
      </w:r>
    </w:p>
    <w:p w14:paraId="1D7BCCD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1.投标人应按照本采购项目特点提供长期良好的售后服务，并在投标文件中提供详细具体的售后服务承诺条款及保证。</w:t>
      </w:r>
    </w:p>
    <w:p w14:paraId="6EF08EF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2.要求售后响应时间在1小时内，24小时内到达现场。</w:t>
      </w:r>
    </w:p>
    <w:p w14:paraId="05CC6CB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3.投标人必须承诺能长期提供良好的技术支持及备品备件的优惠供应。</w:t>
      </w:r>
    </w:p>
    <w:p w14:paraId="3DD1480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4.投标人认为有利于采购人的其他优惠条款应单独列明。</w:t>
      </w:r>
    </w:p>
    <w:p w14:paraId="721DC3F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Style w:val="10"/>
          <w:rFonts w:hint="eastAsia" w:asciiTheme="minorEastAsia" w:hAnsiTheme="minorEastAsia" w:eastAsiaTheme="minorEastAsia" w:cstheme="minorEastAsia"/>
          <w:b/>
          <w:bCs/>
          <w:color w:val="auto"/>
          <w:sz w:val="24"/>
          <w:szCs w:val="24"/>
          <w:highlight w:val="none"/>
          <w:lang w:val="en-US" w:eastAsia="zh-CN"/>
        </w:rPr>
      </w:pPr>
      <w:r>
        <w:rPr>
          <w:rStyle w:val="10"/>
          <w:rFonts w:hint="eastAsia" w:asciiTheme="minorEastAsia" w:hAnsiTheme="minorEastAsia" w:cstheme="minorEastAsia"/>
          <w:b/>
          <w:bCs/>
          <w:color w:val="auto"/>
          <w:sz w:val="24"/>
          <w:szCs w:val="24"/>
          <w:highlight w:val="none"/>
          <w:lang w:val="en-US" w:eastAsia="zh-CN"/>
        </w:rPr>
        <w:t>9</w:t>
      </w:r>
      <w:r>
        <w:rPr>
          <w:rStyle w:val="10"/>
          <w:rFonts w:hint="eastAsia" w:asciiTheme="minorEastAsia" w:hAnsiTheme="minorEastAsia" w:eastAsiaTheme="minorEastAsia" w:cstheme="minorEastAsia"/>
          <w:b/>
          <w:bCs/>
          <w:color w:val="auto"/>
          <w:sz w:val="24"/>
          <w:szCs w:val="24"/>
          <w:highlight w:val="none"/>
          <w:lang w:val="en-US" w:eastAsia="zh-CN"/>
        </w:rPr>
        <w:t>.考核要求</w:t>
      </w:r>
    </w:p>
    <w:p w14:paraId="7221AAF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合作期间，采购人加强科室管理，对区域检验、病理中心运营、管理及试剂耗材使用率等方面制定考核方式（具体考核内容详见附件《医院区域医学检验中心整体化解决方案建设项目考核标准》，</w:t>
      </w:r>
      <w:r>
        <w:rPr>
          <w:rFonts w:hint="eastAsia" w:asciiTheme="minorEastAsia" w:hAnsiTheme="minorEastAsia" w:eastAsiaTheme="minorEastAsia" w:cstheme="minorEastAsia"/>
          <w:color w:val="auto"/>
          <w:sz w:val="24"/>
          <w:szCs w:val="24"/>
          <w:highlight w:val="none"/>
        </w:rPr>
        <w:t>在执行过程中采购单位可根据实际情况进行修订</w:t>
      </w:r>
      <w:r>
        <w:rPr>
          <w:rFonts w:hint="eastAsia" w:asciiTheme="minorEastAsia" w:hAnsiTheme="minorEastAsia" w:eastAsiaTheme="minorEastAsia" w:cstheme="minorEastAsia"/>
          <w:color w:val="auto"/>
          <w:sz w:val="24"/>
          <w:szCs w:val="24"/>
          <w:highlight w:val="none"/>
          <w:lang w:val="en-US" w:eastAsia="zh-CN"/>
        </w:rPr>
        <w:t>），由中标人共同监督和执行。</w:t>
      </w:r>
    </w:p>
    <w:p w14:paraId="4748834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eastAsiaTheme="minorEastAsia" w:cstheme="minorEastAsia"/>
          <w:b/>
          <w:bCs/>
          <w:color w:val="auto"/>
          <w:sz w:val="24"/>
          <w:szCs w:val="24"/>
          <w:highlight w:val="none"/>
          <w:lang w:val="en-US" w:eastAsia="zh-CN"/>
        </w:rPr>
        <w:t>1</w:t>
      </w:r>
      <w:r>
        <w:rPr>
          <w:rStyle w:val="10"/>
          <w:rFonts w:hint="eastAsia" w:asciiTheme="minorEastAsia" w:hAnsiTheme="minorEastAsia" w:cstheme="minorEastAsia"/>
          <w:b/>
          <w:bCs/>
          <w:color w:val="auto"/>
          <w:sz w:val="24"/>
          <w:szCs w:val="24"/>
          <w:highlight w:val="none"/>
          <w:lang w:val="en-US" w:eastAsia="zh-CN"/>
        </w:rPr>
        <w:t>0</w:t>
      </w:r>
      <w:r>
        <w:rPr>
          <w:rStyle w:val="10"/>
          <w:rFonts w:hint="eastAsia" w:asciiTheme="minorEastAsia" w:hAnsiTheme="minorEastAsia" w:eastAsiaTheme="minorEastAsia" w:cstheme="minorEastAsia"/>
          <w:b/>
          <w:bCs/>
          <w:color w:val="auto"/>
          <w:sz w:val="24"/>
          <w:szCs w:val="24"/>
          <w:highlight w:val="none"/>
          <w:lang w:val="en-US" w:eastAsia="zh-CN"/>
        </w:rPr>
        <w:t>.</w:t>
      </w:r>
      <w:r>
        <w:rPr>
          <w:rStyle w:val="10"/>
          <w:rFonts w:hint="eastAsia" w:asciiTheme="minorEastAsia" w:hAnsiTheme="minorEastAsia" w:eastAsiaTheme="minorEastAsia" w:cstheme="minorEastAsia"/>
          <w:b/>
          <w:bCs/>
          <w:color w:val="auto"/>
          <w:sz w:val="24"/>
          <w:szCs w:val="24"/>
          <w:highlight w:val="none"/>
        </w:rPr>
        <w:t>退出机制</w:t>
      </w:r>
    </w:p>
    <w:p w14:paraId="63AD6666">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双方合作关系在以下情况下终止：</w:t>
      </w:r>
    </w:p>
    <w:p w14:paraId="154140F6">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lang w:val="en-US" w:eastAsia="zh-CN"/>
        </w:rPr>
        <w:t>.1.1</w:t>
      </w:r>
      <w:r>
        <w:rPr>
          <w:rFonts w:hint="eastAsia" w:asciiTheme="minorEastAsia" w:hAnsiTheme="minorEastAsia" w:eastAsiaTheme="minorEastAsia" w:cstheme="minorEastAsia"/>
          <w:color w:val="auto"/>
          <w:sz w:val="24"/>
          <w:szCs w:val="24"/>
          <w:highlight w:val="none"/>
        </w:rPr>
        <w:t>合作关系将于协议到期日终止。</w:t>
      </w:r>
    </w:p>
    <w:p w14:paraId="6EADF56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lang w:val="en-US" w:eastAsia="zh-CN"/>
        </w:rPr>
        <w:t>.1.2</w:t>
      </w:r>
      <w:r>
        <w:rPr>
          <w:rFonts w:hint="eastAsia" w:asciiTheme="minorEastAsia" w:hAnsiTheme="minorEastAsia" w:eastAsiaTheme="minorEastAsia" w:cstheme="minorEastAsia"/>
          <w:color w:val="auto"/>
          <w:sz w:val="24"/>
          <w:szCs w:val="24"/>
          <w:highlight w:val="none"/>
        </w:rPr>
        <w:t>如采购人无故拖欠试剂款或不配合工作超过约定日期满60天，中标人有权单方面解除合作关系。</w:t>
      </w:r>
    </w:p>
    <w:p w14:paraId="7A08003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lang w:val="en-US" w:eastAsia="zh-CN"/>
        </w:rPr>
        <w:t>.1.3</w:t>
      </w:r>
      <w:r>
        <w:rPr>
          <w:rFonts w:hint="eastAsia" w:asciiTheme="minorEastAsia" w:hAnsiTheme="minorEastAsia" w:eastAsiaTheme="minorEastAsia" w:cstheme="minorEastAsia"/>
          <w:color w:val="auto"/>
          <w:sz w:val="24"/>
          <w:szCs w:val="24"/>
          <w:highlight w:val="none"/>
        </w:rPr>
        <w:t>由于中标人未按照国家相关部门管理要求和管理未达到双方约定要求的，经书面通知整改3次，中标人依然没有达到相应要求的，采购人有权单方面解除合作关系</w:t>
      </w:r>
      <w:r>
        <w:rPr>
          <w:rFonts w:hint="eastAsia" w:asciiTheme="minorEastAsia" w:hAnsiTheme="minorEastAsia" w:cstheme="minorEastAsia"/>
          <w:color w:val="auto"/>
          <w:sz w:val="24"/>
          <w:szCs w:val="24"/>
          <w:highlight w:val="none"/>
          <w:lang w:val="en-US" w:eastAsia="zh-CN"/>
        </w:rPr>
        <w:t>并没收履约保证金</w:t>
      </w:r>
      <w:r>
        <w:rPr>
          <w:rFonts w:hint="eastAsia" w:asciiTheme="minorEastAsia" w:hAnsiTheme="minorEastAsia" w:eastAsiaTheme="minorEastAsia" w:cstheme="minorEastAsia"/>
          <w:color w:val="auto"/>
          <w:sz w:val="24"/>
          <w:szCs w:val="24"/>
          <w:highlight w:val="none"/>
        </w:rPr>
        <w:t>。</w:t>
      </w:r>
    </w:p>
    <w:p w14:paraId="24DBB05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lang w:val="en-US" w:eastAsia="zh-CN"/>
        </w:rPr>
        <w:t>.1.4</w:t>
      </w:r>
      <w:r>
        <w:rPr>
          <w:rFonts w:hint="eastAsia" w:asciiTheme="minorEastAsia" w:hAnsiTheme="minorEastAsia" w:eastAsiaTheme="minorEastAsia" w:cstheme="minorEastAsia"/>
          <w:color w:val="auto"/>
          <w:sz w:val="24"/>
          <w:szCs w:val="24"/>
          <w:highlight w:val="none"/>
        </w:rPr>
        <w:t>合作关系终止时，检验科库存试剂由双方共同清点，并书面确认后，按照采购单价结算。双方应在约定的期限内结清应付款项。</w:t>
      </w:r>
    </w:p>
    <w:p w14:paraId="215269A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lang w:val="en-US" w:eastAsia="zh-CN"/>
        </w:rPr>
        <w:t>.1.5</w:t>
      </w:r>
      <w:r>
        <w:rPr>
          <w:rFonts w:hint="eastAsia" w:asciiTheme="minorEastAsia" w:hAnsiTheme="minorEastAsia" w:eastAsiaTheme="minorEastAsia" w:cstheme="minorEastAsia"/>
          <w:color w:val="auto"/>
          <w:sz w:val="24"/>
          <w:szCs w:val="24"/>
          <w:highlight w:val="none"/>
        </w:rPr>
        <w:t>由于政策等不可抗原因，双方合作终止，中标人原有投入资产</w:t>
      </w:r>
      <w:r>
        <w:rPr>
          <w:rFonts w:hint="eastAsia" w:asciiTheme="minorEastAsia" w:hAnsiTheme="minorEastAsia" w:eastAsiaTheme="minorEastAsia" w:cstheme="minorEastAsia"/>
          <w:color w:val="auto"/>
          <w:sz w:val="24"/>
          <w:szCs w:val="24"/>
          <w:highlight w:val="none"/>
          <w:lang w:eastAsia="zh-CN"/>
        </w:rPr>
        <w:t>归</w:t>
      </w:r>
      <w:r>
        <w:rPr>
          <w:rFonts w:hint="eastAsia" w:asciiTheme="minorEastAsia" w:hAnsiTheme="minorEastAsia" w:cstheme="minorEastAsia"/>
          <w:color w:val="auto"/>
          <w:sz w:val="24"/>
          <w:szCs w:val="24"/>
          <w:highlight w:val="none"/>
          <w:lang w:val="en-US" w:eastAsia="zh-CN"/>
        </w:rPr>
        <w:t>采购人</w:t>
      </w:r>
      <w:r>
        <w:rPr>
          <w:rFonts w:hint="eastAsia" w:asciiTheme="minorEastAsia" w:hAnsiTheme="minorEastAsia" w:eastAsiaTheme="minorEastAsia" w:cstheme="minorEastAsia"/>
          <w:color w:val="auto"/>
          <w:sz w:val="24"/>
          <w:szCs w:val="24"/>
          <w:highlight w:val="none"/>
          <w:lang w:eastAsia="zh-CN"/>
        </w:rPr>
        <w:t>所有</w:t>
      </w:r>
      <w:r>
        <w:rPr>
          <w:rFonts w:hint="eastAsia" w:asciiTheme="minorEastAsia" w:hAnsiTheme="minorEastAsia" w:eastAsiaTheme="minorEastAsia" w:cstheme="minorEastAsia"/>
          <w:color w:val="auto"/>
          <w:sz w:val="24"/>
          <w:szCs w:val="24"/>
          <w:highlight w:val="none"/>
        </w:rPr>
        <w:t>。</w:t>
      </w:r>
    </w:p>
    <w:p w14:paraId="165B3ED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pacing w:val="0"/>
          <w:sz w:val="24"/>
          <w:szCs w:val="24"/>
          <w:highlight w:val="none"/>
          <w:lang w:val="en-US" w:eastAsia="zh-CN"/>
        </w:rPr>
        <w:t>1</w:t>
      </w:r>
      <w:r>
        <w:rPr>
          <w:rFonts w:hint="eastAsia" w:asciiTheme="minorEastAsia" w:hAnsiTheme="minorEastAsia" w:cstheme="minorEastAsia"/>
          <w:b/>
          <w:bCs/>
          <w:color w:val="auto"/>
          <w:spacing w:val="0"/>
          <w:sz w:val="24"/>
          <w:szCs w:val="24"/>
          <w:highlight w:val="none"/>
          <w:lang w:val="en-US" w:eastAsia="zh-CN"/>
        </w:rPr>
        <w:t>1</w:t>
      </w:r>
      <w:r>
        <w:rPr>
          <w:rFonts w:hint="eastAsia" w:asciiTheme="minorEastAsia" w:hAnsiTheme="minorEastAsia" w:eastAsiaTheme="minorEastAsia" w:cstheme="minorEastAsia"/>
          <w:b/>
          <w:bCs/>
          <w:color w:val="auto"/>
          <w:spacing w:val="0"/>
          <w:sz w:val="24"/>
          <w:szCs w:val="24"/>
          <w:highlight w:val="none"/>
          <w:lang w:val="en-US" w:eastAsia="zh-CN"/>
        </w:rPr>
        <w:t>.</w:t>
      </w:r>
      <w:r>
        <w:rPr>
          <w:rFonts w:hint="eastAsia" w:asciiTheme="minorEastAsia" w:hAnsiTheme="minorEastAsia" w:eastAsiaTheme="minorEastAsia" w:cstheme="minorEastAsia"/>
          <w:b/>
          <w:bCs/>
          <w:color w:val="auto"/>
          <w:spacing w:val="0"/>
          <w:sz w:val="24"/>
          <w:szCs w:val="24"/>
          <w:highlight w:val="none"/>
        </w:rPr>
        <w:t>违约情况与责任</w:t>
      </w:r>
    </w:p>
    <w:p w14:paraId="3F3FF08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rPr>
        <w:t>违约情况</w:t>
      </w:r>
    </w:p>
    <w:p w14:paraId="0190A03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.1.1</w:t>
      </w:r>
      <w:r>
        <w:rPr>
          <w:rFonts w:hint="eastAsia" w:ascii="宋体" w:hAnsi="宋体" w:eastAsia="宋体" w:cs="宋体"/>
          <w:color w:val="auto"/>
          <w:sz w:val="24"/>
          <w:szCs w:val="24"/>
          <w:highlight w:val="none"/>
          <w:lang w:val="en-US" w:eastAsia="zh-CN"/>
        </w:rPr>
        <w:t>因中标人原因造成采购合同无法按时签订的，视为中标人违约，对采购人造成的损失的，中标人还需另行支付相应的赔偿。</w:t>
      </w:r>
    </w:p>
    <w:p w14:paraId="734ABC8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cstheme="minorEastAsia"/>
          <w:color w:val="auto"/>
          <w:spacing w:val="0"/>
          <w:sz w:val="24"/>
          <w:szCs w:val="24"/>
          <w:highlight w:val="none"/>
          <w:lang w:val="en-US" w:eastAsia="zh-CN"/>
        </w:rPr>
        <w:t>11.1.2</w:t>
      </w:r>
      <w:r>
        <w:rPr>
          <w:rFonts w:hint="eastAsia" w:asciiTheme="minorEastAsia" w:hAnsiTheme="minorEastAsia" w:eastAsiaTheme="minorEastAsia" w:cstheme="minorEastAsia"/>
          <w:color w:val="auto"/>
          <w:spacing w:val="0"/>
          <w:sz w:val="24"/>
          <w:szCs w:val="24"/>
          <w:highlight w:val="none"/>
        </w:rPr>
        <w:t>使用弄虚作假、隐瞒等手段通过本项目验收，经发现告知后15日内整改仍未达到招标内容要求的视为违约</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采购人有权解除合同并没收履约保证金</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若</w:t>
      </w:r>
      <w:r>
        <w:rPr>
          <w:rFonts w:hint="eastAsia" w:ascii="宋体" w:hAnsi="宋体" w:eastAsia="宋体" w:cs="宋体"/>
          <w:color w:val="auto"/>
          <w:sz w:val="24"/>
          <w:szCs w:val="24"/>
          <w:highlight w:val="none"/>
          <w:lang w:val="en-US" w:eastAsia="zh-CN"/>
        </w:rPr>
        <w:t>造成的损失的，中标人还需另行支付相应的赔偿。</w:t>
      </w:r>
    </w:p>
    <w:p w14:paraId="1F5C951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3</w:t>
      </w:r>
      <w:r>
        <w:rPr>
          <w:rFonts w:hint="eastAsia" w:asciiTheme="minorEastAsia" w:hAnsiTheme="minorEastAsia" w:eastAsiaTheme="minorEastAsia" w:cstheme="minorEastAsia"/>
          <w:color w:val="auto"/>
          <w:spacing w:val="0"/>
          <w:sz w:val="24"/>
          <w:szCs w:val="24"/>
          <w:highlight w:val="none"/>
        </w:rPr>
        <w:t>中标人未经采购人同意擅自修改业务系统程序、服务器、数据库等配置或更替系统证书等操作导致医院系统瘫痪，严重影响医院业务的视为违约</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采购人有权解除合同并没收履约保证金</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若</w:t>
      </w:r>
      <w:r>
        <w:rPr>
          <w:rFonts w:hint="eastAsia" w:ascii="宋体" w:hAnsi="宋体" w:eastAsia="宋体" w:cs="宋体"/>
          <w:color w:val="auto"/>
          <w:sz w:val="24"/>
          <w:szCs w:val="24"/>
          <w:highlight w:val="none"/>
          <w:lang w:val="en-US" w:eastAsia="zh-CN"/>
        </w:rPr>
        <w:t>造成的损失的，中标人还需另行支付相应的赔偿</w:t>
      </w:r>
      <w:r>
        <w:rPr>
          <w:rFonts w:hint="eastAsia" w:asciiTheme="minorEastAsia" w:hAnsiTheme="minorEastAsia" w:eastAsiaTheme="minorEastAsia" w:cstheme="minorEastAsia"/>
          <w:color w:val="auto"/>
          <w:spacing w:val="0"/>
          <w:sz w:val="24"/>
          <w:szCs w:val="24"/>
          <w:highlight w:val="none"/>
          <w:lang w:eastAsia="zh-CN"/>
        </w:rPr>
        <w:t>。</w:t>
      </w:r>
    </w:p>
    <w:p w14:paraId="56236F6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4</w:t>
      </w:r>
      <w:r>
        <w:rPr>
          <w:rFonts w:hint="eastAsia" w:asciiTheme="minorEastAsia" w:hAnsiTheme="minorEastAsia" w:eastAsiaTheme="minorEastAsia" w:cstheme="minorEastAsia"/>
          <w:color w:val="auto"/>
          <w:spacing w:val="0"/>
          <w:sz w:val="24"/>
          <w:szCs w:val="24"/>
          <w:highlight w:val="none"/>
        </w:rPr>
        <w:t>中标人无故不履行本次招标服务，导致长时间（5天及以上）系统无法正常运行，严重影响医院业务的视为违约</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采购人有权解除合同并没收履约保证金</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若</w:t>
      </w:r>
      <w:r>
        <w:rPr>
          <w:rFonts w:hint="eastAsia" w:ascii="宋体" w:hAnsi="宋体" w:eastAsia="宋体" w:cs="宋体"/>
          <w:color w:val="auto"/>
          <w:sz w:val="24"/>
          <w:szCs w:val="24"/>
          <w:highlight w:val="none"/>
          <w:lang w:val="en-US" w:eastAsia="zh-CN"/>
        </w:rPr>
        <w:t>造成的损失的，中标人还需另行支付相应的赔偿</w:t>
      </w:r>
      <w:r>
        <w:rPr>
          <w:rFonts w:hint="eastAsia" w:asciiTheme="minorEastAsia" w:hAnsiTheme="minorEastAsia" w:eastAsiaTheme="minorEastAsia" w:cstheme="minorEastAsia"/>
          <w:color w:val="auto"/>
          <w:spacing w:val="0"/>
          <w:sz w:val="24"/>
          <w:szCs w:val="24"/>
          <w:highlight w:val="none"/>
        </w:rPr>
        <w:t>。</w:t>
      </w:r>
    </w:p>
    <w:p w14:paraId="6F8C263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5</w:t>
      </w:r>
      <w:r>
        <w:rPr>
          <w:rFonts w:hint="eastAsia" w:asciiTheme="minorEastAsia" w:hAnsiTheme="minorEastAsia" w:eastAsiaTheme="minorEastAsia" w:cstheme="minorEastAsia"/>
          <w:color w:val="auto"/>
          <w:spacing w:val="0"/>
          <w:sz w:val="24"/>
          <w:szCs w:val="24"/>
          <w:highlight w:val="none"/>
        </w:rPr>
        <w:t>中标人违反《中华人民共和国数据安全法》、《中华人民共和国网络安全法》等国家法律法规行为视为违约</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采购人有权解除合同并没收履约保证金</w:t>
      </w:r>
      <w:r>
        <w:rPr>
          <w:rFonts w:hint="eastAsia" w:asciiTheme="minorEastAsia" w:hAnsiTheme="minorEastAsia" w:cstheme="minorEastAsia"/>
          <w:color w:val="auto"/>
          <w:spacing w:val="0"/>
          <w:sz w:val="24"/>
          <w:szCs w:val="24"/>
          <w:highlight w:val="none"/>
          <w:lang w:eastAsia="zh-CN"/>
        </w:rPr>
        <w:t>，</w:t>
      </w:r>
      <w:r>
        <w:rPr>
          <w:rFonts w:hint="eastAsia" w:asciiTheme="minorEastAsia" w:hAnsiTheme="minorEastAsia" w:cstheme="minorEastAsia"/>
          <w:color w:val="auto"/>
          <w:spacing w:val="0"/>
          <w:sz w:val="24"/>
          <w:szCs w:val="24"/>
          <w:highlight w:val="none"/>
          <w:lang w:val="en-US" w:eastAsia="zh-CN"/>
        </w:rPr>
        <w:t>若</w:t>
      </w:r>
      <w:r>
        <w:rPr>
          <w:rFonts w:hint="eastAsia" w:ascii="宋体" w:hAnsi="宋体" w:eastAsia="宋体" w:cs="宋体"/>
          <w:color w:val="auto"/>
          <w:sz w:val="24"/>
          <w:szCs w:val="24"/>
          <w:highlight w:val="none"/>
          <w:lang w:val="en-US" w:eastAsia="zh-CN"/>
        </w:rPr>
        <w:t>造成的损失的，中标人还需另行支付相应的赔偿</w:t>
      </w:r>
      <w:r>
        <w:rPr>
          <w:rFonts w:hint="eastAsia" w:asciiTheme="minorEastAsia" w:hAnsiTheme="minorEastAsia" w:eastAsiaTheme="minorEastAsia" w:cstheme="minorEastAsia"/>
          <w:color w:val="auto"/>
          <w:spacing w:val="0"/>
          <w:sz w:val="24"/>
          <w:szCs w:val="24"/>
          <w:highlight w:val="none"/>
        </w:rPr>
        <w:t>。</w:t>
      </w:r>
    </w:p>
    <w:p w14:paraId="171E3B46">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w:t>
      </w:r>
      <w:r>
        <w:rPr>
          <w:rFonts w:hint="eastAsia" w:asciiTheme="minorEastAsia" w:hAnsiTheme="minorEastAsia" w:eastAsiaTheme="minorEastAsia" w:cstheme="minorEastAsia"/>
          <w:color w:val="auto"/>
          <w:spacing w:val="0"/>
          <w:sz w:val="24"/>
          <w:szCs w:val="24"/>
          <w:highlight w:val="none"/>
        </w:rPr>
        <w:t>违约责任</w:t>
      </w:r>
    </w:p>
    <w:p w14:paraId="74CF2B3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pacing w:val="0"/>
          <w:sz w:val="24"/>
          <w:szCs w:val="24"/>
          <w:highlight w:val="none"/>
        </w:rPr>
      </w:pPr>
      <w:r>
        <w:rPr>
          <w:rFonts w:hint="eastAsia" w:ascii="宋体" w:hAnsi="宋体" w:eastAsia="宋体" w:cs="宋体"/>
          <w:color w:val="auto"/>
          <w:sz w:val="24"/>
          <w:szCs w:val="24"/>
          <w:highlight w:val="none"/>
          <w:lang w:val="en-US" w:eastAsia="zh-CN"/>
        </w:rPr>
        <w:t>在签定采购合同之后，有下列情形之一的，将视为中标人违约，采购人有权从履约保证金中取得补偿并进一步提出追索和索赔：</w:t>
      </w:r>
    </w:p>
    <w:p w14:paraId="37F3AB6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rPr>
        <w:t>若涉及虚假应标的，报采购相关部门备案处理。</w:t>
      </w:r>
    </w:p>
    <w:p w14:paraId="61D6CBF8">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.2.2</w:t>
      </w:r>
      <w:r>
        <w:rPr>
          <w:rFonts w:hint="eastAsia" w:ascii="宋体" w:hAnsi="宋体" w:eastAsia="宋体" w:cs="宋体"/>
          <w:color w:val="000000" w:themeColor="text1"/>
          <w:sz w:val="24"/>
          <w:szCs w:val="24"/>
          <w:highlight w:val="none"/>
          <w:lang w:val="en-US" w:eastAsia="zh-CN"/>
          <w14:textFill>
            <w14:solidFill>
              <w14:schemeClr w14:val="tx1"/>
            </w14:solidFill>
          </w14:textFill>
        </w:rPr>
        <w:t>签定合同后，中标人未按合同规定提供服务的；</w:t>
      </w:r>
    </w:p>
    <w:p w14:paraId="1DD4C5BB">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.2.3</w:t>
      </w:r>
      <w:r>
        <w:rPr>
          <w:rFonts w:hint="eastAsia" w:ascii="宋体" w:hAnsi="宋体" w:eastAsia="宋体" w:cs="宋体"/>
          <w:color w:val="000000" w:themeColor="text1"/>
          <w:sz w:val="24"/>
          <w:szCs w:val="24"/>
          <w:highlight w:val="none"/>
          <w:lang w:val="en-US" w:eastAsia="zh-CN"/>
          <w14:textFill>
            <w14:solidFill>
              <w14:schemeClr w14:val="tx1"/>
            </w14:solidFill>
          </w14:textFill>
        </w:rPr>
        <w:t>中标人不能交货或不能完成合同的（不可抗力因素造成的除外）；</w:t>
      </w:r>
    </w:p>
    <w:p w14:paraId="0D5C74A8">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.2.4</w:t>
      </w:r>
      <w:r>
        <w:rPr>
          <w:rFonts w:hint="eastAsia" w:ascii="宋体" w:hAnsi="宋体" w:eastAsia="宋体" w:cs="宋体"/>
          <w:color w:val="000000" w:themeColor="text1"/>
          <w:sz w:val="24"/>
          <w:szCs w:val="24"/>
          <w:highlight w:val="none"/>
          <w:lang w:val="en-US" w:eastAsia="zh-CN"/>
          <w14:textFill>
            <w14:solidFill>
              <w14:schemeClr w14:val="tx1"/>
            </w14:solidFill>
          </w14:textFill>
        </w:rPr>
        <w:t>中标人未能按合同规定履行其义务的；</w:t>
      </w:r>
    </w:p>
    <w:p w14:paraId="37746CDD">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.2.5</w:t>
      </w:r>
      <w:r>
        <w:rPr>
          <w:rFonts w:hint="eastAsia" w:ascii="宋体" w:hAnsi="宋体" w:eastAsia="宋体" w:cs="宋体"/>
          <w:color w:val="000000" w:themeColor="text1"/>
          <w:sz w:val="24"/>
          <w:szCs w:val="24"/>
          <w:highlight w:val="none"/>
          <w:lang w:val="en-US" w:eastAsia="zh-CN"/>
          <w14:textFill>
            <w14:solidFill>
              <w14:schemeClr w14:val="tx1"/>
            </w14:solidFill>
          </w14:textFill>
        </w:rPr>
        <w:t>在签定采购合同之后，中标人要求解除合同的；</w:t>
      </w:r>
    </w:p>
    <w:p w14:paraId="4EB2A2B7">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.2.6</w:t>
      </w:r>
      <w:r>
        <w:rPr>
          <w:rFonts w:hint="eastAsia" w:ascii="宋体" w:hAnsi="宋体" w:eastAsia="宋体" w:cs="宋体"/>
          <w:color w:val="000000" w:themeColor="text1"/>
          <w:sz w:val="24"/>
          <w:szCs w:val="24"/>
          <w:highlight w:val="none"/>
          <w:lang w:val="en-US" w:eastAsia="zh-CN"/>
          <w14:textFill>
            <w14:solidFill>
              <w14:schemeClr w14:val="tx1"/>
            </w14:solidFill>
          </w14:textFill>
        </w:rPr>
        <w:t>本项目所有服务，都必须由中标人自己或在投标文件中明确的单位承担，不得以任何名义和理由再进行分包或转包。如有发现，视为中标人违约，采购人有权单方终止合同，对采购人造成损失的，需另行支付相应的赔偿。</w:t>
      </w:r>
    </w:p>
    <w:p w14:paraId="730F01BD">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.2.7</w:t>
      </w:r>
      <w:r>
        <w:rPr>
          <w:rFonts w:hint="eastAsia" w:ascii="宋体" w:hAnsi="宋体" w:eastAsia="宋体" w:cs="宋体"/>
          <w:color w:val="000000" w:themeColor="text1"/>
          <w:sz w:val="24"/>
          <w:szCs w:val="24"/>
          <w:highlight w:val="none"/>
          <w:lang w:val="en-US" w:eastAsia="zh-CN"/>
          <w14:textFill>
            <w14:solidFill>
              <w14:schemeClr w14:val="tx1"/>
            </w14:solidFill>
          </w14:textFill>
        </w:rPr>
        <w:t>因中标人原因发生重大质量事故，除依约承担赔偿责任外，还将按有关质量管理办法规定执行。同时，采购人有权保留更换中标人的权利，并报相关行政主管部门处罚。</w:t>
      </w:r>
    </w:p>
    <w:p w14:paraId="3D06E817">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.2.8</w:t>
      </w:r>
      <w:r>
        <w:rPr>
          <w:rFonts w:hint="eastAsia" w:ascii="宋体" w:hAnsi="宋体" w:eastAsia="宋体" w:cs="宋体"/>
          <w:color w:val="000000" w:themeColor="text1"/>
          <w:sz w:val="24"/>
          <w:szCs w:val="24"/>
          <w:highlight w:val="none"/>
          <w:lang w:val="en-US" w:eastAsia="zh-CN"/>
          <w14:textFill>
            <w14:solidFill>
              <w14:schemeClr w14:val="tx1"/>
            </w14:solidFill>
          </w14:textFill>
        </w:rPr>
        <w:t>若发生死亡安全事故，除按国家</w:t>
      </w:r>
      <w:r>
        <w:rPr>
          <w:rFonts w:hint="eastAsia" w:ascii="宋体" w:hAnsi="宋体" w:eastAsia="宋体" w:cs="宋体"/>
          <w:color w:val="auto"/>
          <w:sz w:val="24"/>
          <w:szCs w:val="24"/>
          <w:highlight w:val="none"/>
          <w:lang w:val="en-US" w:eastAsia="zh-CN"/>
        </w:rPr>
        <w:t>有关安全管理规定及采购人有关安全管理办法执行外，并报相关行政主管部门处罚；发生重大安全事故或特大安全事故，除按国家有关安全管理规定及招标人有关安全管理办法执行外，采购人有权解除合同并没收履约保证金，给采购人造成的损失，还应承担赔偿责任。</w:t>
      </w:r>
    </w:p>
    <w:p w14:paraId="48FC0DBA">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.2.9</w:t>
      </w:r>
      <w:r>
        <w:rPr>
          <w:rFonts w:hint="eastAsia" w:ascii="宋体" w:hAnsi="宋体" w:eastAsia="宋体" w:cs="宋体"/>
          <w:color w:val="auto"/>
          <w:sz w:val="24"/>
          <w:szCs w:val="24"/>
          <w:highlight w:val="none"/>
          <w:lang w:val="en-US" w:eastAsia="zh-CN"/>
        </w:rPr>
        <w:t>在明确违约责任后，中标人应在接到书面通知书起七天内支付违约金、赔偿金等。</w:t>
      </w:r>
    </w:p>
    <w:p w14:paraId="354AD368">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color w:val="auto"/>
          <w:sz w:val="24"/>
          <w:szCs w:val="24"/>
          <w:highlight w:val="none"/>
          <w:shd w:val="clear" w:color="auto" w:fill="FFFFFF"/>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.2.10</w:t>
      </w:r>
      <w:r>
        <w:rPr>
          <w:rFonts w:hint="eastAsia" w:ascii="宋体" w:hAnsi="宋体" w:eastAsia="宋体" w:cs="宋体"/>
          <w:color w:val="auto"/>
          <w:sz w:val="24"/>
          <w:szCs w:val="24"/>
          <w:highlight w:val="none"/>
          <w:lang w:val="en-US" w:eastAsia="zh-CN"/>
        </w:rPr>
        <w:t>本招标文件未明确的其它约定事项或条款，待采购人与中标人签订合同时，由双方协商订立。</w:t>
      </w:r>
    </w:p>
    <w:p w14:paraId="0100D981">
      <w:pPr>
        <w:pStyle w:val="11"/>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rPr>
      </w:pP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lang w:val="en-US" w:eastAsia="zh-CN"/>
        </w:rPr>
        <w:t>.2.1</w:t>
      </w:r>
      <w:r>
        <w:rPr>
          <w:rFonts w:hint="eastAsia" w:asciiTheme="minorEastAsia" w:hAnsi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rPr>
        <w:t>中标人违约情况构成违法犯罪的，移交当地司法公安部门另行处理。</w:t>
      </w:r>
    </w:p>
    <w:p w14:paraId="6DAEFF2D">
      <w:pPr>
        <w:pStyle w:val="11"/>
        <w:keepNext w:val="0"/>
        <w:keepLines w:val="0"/>
        <w:pageBreakBefore w:val="0"/>
        <w:kinsoku/>
        <w:wordWrap/>
        <w:overflowPunct/>
        <w:topLinePunct w:val="0"/>
        <w:autoSpaceDE/>
        <w:autoSpaceDN/>
        <w:bidi w:val="0"/>
        <w:adjustRightInd/>
        <w:snapToGrid/>
        <w:spacing w:line="360" w:lineRule="auto"/>
        <w:jc w:val="both"/>
        <w:textAlignment w:val="auto"/>
        <w:outlineLvl w:val="2"/>
        <w:rPr>
          <w:rFonts w:hint="eastAsia" w:ascii="宋体" w:hAnsi="宋体" w:eastAsia="宋体" w:cs="宋体"/>
          <w:sz w:val="24"/>
          <w:szCs w:val="24"/>
        </w:rPr>
      </w:pPr>
      <w:r>
        <w:rPr>
          <w:rFonts w:hint="eastAsia" w:ascii="宋体" w:hAnsi="宋体" w:eastAsia="宋体" w:cs="宋体"/>
          <w:b/>
          <w:sz w:val="24"/>
          <w:szCs w:val="24"/>
        </w:rPr>
        <w:t>四、其他事项</w:t>
      </w:r>
    </w:p>
    <w:p w14:paraId="5B2B7AD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1、除招标文件另有规定外，若出现有关法律、法规和规章有强制性规定但招标文件未列明的情形，则投标人应按照有关法律、法规和规章强制性规定执行。</w:t>
      </w:r>
    </w:p>
    <w:p w14:paraId="6742990C">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2、其他：</w:t>
      </w:r>
    </w:p>
    <w:p w14:paraId="5B85E12E">
      <w:pPr>
        <w:pStyle w:val="11"/>
        <w:keepNext w:val="0"/>
        <w:keepLines w:val="0"/>
        <w:pageBreakBefore w:val="0"/>
        <w:kinsoku/>
        <w:wordWrap/>
        <w:overflowPunct/>
        <w:topLinePunct w:val="0"/>
        <w:autoSpaceDE/>
        <w:autoSpaceDN/>
        <w:bidi w:val="0"/>
        <w:adjustRightInd/>
        <w:snapToGrid/>
        <w:spacing w:line="360" w:lineRule="auto"/>
        <w:ind w:firstLine="480"/>
        <w:jc w:val="both"/>
        <w:textAlignment w:val="auto"/>
        <w:rPr>
          <w:rFonts w:hint="eastAsia" w:ascii="宋体" w:hAnsi="宋体" w:eastAsia="宋体" w:cs="宋体"/>
          <w:sz w:val="24"/>
          <w:szCs w:val="24"/>
        </w:rPr>
      </w:pPr>
      <w:r>
        <w:rPr>
          <w:rFonts w:hint="eastAsia" w:ascii="宋体" w:hAnsi="宋体" w:eastAsia="宋体" w:cs="宋体"/>
          <w:sz w:val="24"/>
          <w:szCs w:val="24"/>
        </w:rPr>
        <w:t>2.1 本招标文件未明确的其它约定事项或条款，待采购人与中标人签订合同时，由双方协商订立。</w:t>
      </w:r>
    </w:p>
    <w:p w14:paraId="2275B502">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3521420D">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24"/>
          <w:szCs w:val="24"/>
        </w:rPr>
        <w:t>第六章 政府采购合同</w:t>
      </w:r>
    </w:p>
    <w:p w14:paraId="7A848996">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参考文本</w:t>
      </w:r>
    </w:p>
    <w:p w14:paraId="352C752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合同编号：</w:t>
      </w:r>
    </w:p>
    <w:p w14:paraId="1453F679">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24"/>
          <w:szCs w:val="24"/>
        </w:rPr>
        <w:t xml:space="preserve"> 福建省政府采购合同（服务类）</w:t>
      </w:r>
    </w:p>
    <w:p w14:paraId="336E4DDE">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编制说明</w:t>
      </w:r>
      <w:r>
        <w:rPr>
          <w:rFonts w:hint="eastAsia" w:ascii="宋体" w:hAnsi="宋体" w:eastAsia="宋体" w:cs="宋体"/>
          <w:sz w:val="24"/>
          <w:szCs w:val="24"/>
        </w:rPr>
        <w:br w:type="textWrapping"/>
      </w:r>
    </w:p>
    <w:p w14:paraId="1CF92196">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1.签订合同应遵守《中华人民共和国政府采购法》及其实施条例、《中华人民共和国民法典》等法律法规及其他有关规定。</w:t>
      </w:r>
    </w:p>
    <w:p w14:paraId="45424122">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2.签订合同时，采购人与中标(成交)人应结合采购文件规定填列相应内容。采购文件已有约定的，双方均不得对约定进行变更或调整；采购文件未作规定的，双方可通过友好协商进行约定。</w:t>
      </w:r>
    </w:p>
    <w:p w14:paraId="21CAAF7F">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3.政府有关主管部门对若干合同有规范文本的，可使用相应合同文本。</w:t>
      </w:r>
    </w:p>
    <w:p w14:paraId="05811FF6">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4.本合同范本仅供参考，采购人应当根据采购项目的实际需求对合同条款进行修改、补充。</w:t>
      </w:r>
    </w:p>
    <w:p w14:paraId="4805208F">
      <w:pPr>
        <w:pStyle w:val="11"/>
        <w:keepNext w:val="0"/>
        <w:keepLines w:val="0"/>
        <w:pageBreakBefore w:val="0"/>
        <w:kinsoku/>
        <w:wordWrap/>
        <w:overflowPunct/>
        <w:topLinePunct w:val="0"/>
        <w:autoSpaceDE/>
        <w:autoSpaceDN/>
        <w:bidi w:val="0"/>
        <w:adjustRightInd/>
        <w:snapToGrid/>
        <w:spacing w:line="360" w:lineRule="auto"/>
        <w:ind w:left="0"/>
        <w:jc w:val="left"/>
        <w:textAlignment w:val="auto"/>
        <w:rPr>
          <w:rFonts w:hint="eastAsia" w:ascii="宋体" w:hAnsi="宋体" w:eastAsia="宋体" w:cs="宋体"/>
          <w:sz w:val="24"/>
          <w:szCs w:val="24"/>
        </w:rPr>
      </w:pPr>
      <w:r>
        <w:rPr>
          <w:rFonts w:hint="eastAsia" w:ascii="宋体" w:hAnsi="宋体" w:eastAsia="宋体" w:cs="宋体"/>
          <w:sz w:val="24"/>
          <w:szCs w:val="24"/>
        </w:rPr>
        <w:t>甲方：</w:t>
      </w:r>
    </w:p>
    <w:p w14:paraId="1733C88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住所地：________________</w:t>
      </w:r>
    </w:p>
    <w:p w14:paraId="656FBE9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联系人：________________</w:t>
      </w:r>
    </w:p>
    <w:p w14:paraId="7E4DED6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联系电话：______________</w:t>
      </w:r>
    </w:p>
    <w:p w14:paraId="10E0696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传真：________________</w:t>
      </w:r>
    </w:p>
    <w:p w14:paraId="1057E90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电子邮箱：________________</w:t>
      </w:r>
      <w:r>
        <w:rPr>
          <w:rFonts w:hint="eastAsia" w:ascii="宋体" w:hAnsi="宋体" w:eastAsia="宋体" w:cs="宋体"/>
          <w:sz w:val="24"/>
          <w:szCs w:val="24"/>
        </w:rPr>
        <w:br w:type="textWrapping"/>
      </w:r>
    </w:p>
    <w:p w14:paraId="67465F0D">
      <w:pPr>
        <w:pStyle w:val="11"/>
        <w:keepNext w:val="0"/>
        <w:keepLines w:val="0"/>
        <w:pageBreakBefore w:val="0"/>
        <w:kinsoku/>
        <w:wordWrap/>
        <w:overflowPunct/>
        <w:topLinePunct w:val="0"/>
        <w:autoSpaceDE/>
        <w:autoSpaceDN/>
        <w:bidi w:val="0"/>
        <w:adjustRightInd/>
        <w:snapToGrid/>
        <w:spacing w:line="360" w:lineRule="auto"/>
        <w:ind w:left="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乙方： ________________</w:t>
      </w:r>
    </w:p>
    <w:p w14:paraId="0280048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住所地： ________________</w:t>
      </w:r>
    </w:p>
    <w:p w14:paraId="25F3D1A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联系人：______________</w:t>
      </w:r>
    </w:p>
    <w:p w14:paraId="185B52F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联系电话：______________</w:t>
      </w:r>
    </w:p>
    <w:p w14:paraId="1D8CEB6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传真：________________</w:t>
      </w:r>
    </w:p>
    <w:p w14:paraId="4F927C8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电子邮箱：________________</w:t>
      </w:r>
    </w:p>
    <w:p w14:paraId="44DB782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根据项目编号为___________ 的 __________项目（以下简称：“本项目”）的采购结果，遵循平等、自愿、公平和诚实信用的原则，双方签署本合同，具体内容如下：</w:t>
      </w:r>
    </w:p>
    <w:p w14:paraId="19ECB78B">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一、合同组成部分</w:t>
      </w:r>
    </w:p>
    <w:p w14:paraId="529A7A8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1.1本合同条款及附件；</w:t>
      </w:r>
    </w:p>
    <w:p w14:paraId="6F10268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1.2采购文件及其附件、补充文件；</w:t>
      </w:r>
    </w:p>
    <w:p w14:paraId="518E51E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1.3乙方的响应文件及其附件、补充文件；</w:t>
      </w:r>
    </w:p>
    <w:p w14:paraId="5D73A41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1.4其他文件或材料：</w:t>
      </w:r>
    </w:p>
    <w:p w14:paraId="6E56016F">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二、合同标的</w:t>
      </w:r>
      <w:r>
        <w:rPr>
          <w:rFonts w:hint="eastAsia" w:ascii="宋体" w:hAnsi="宋体" w:eastAsia="宋体" w:cs="宋体"/>
          <w:sz w:val="24"/>
          <w:szCs w:val="24"/>
        </w:rPr>
        <w:br w:type="textWrapping"/>
      </w:r>
    </w:p>
    <w:p w14:paraId="7A7FC6DC">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三、价格形式及合同价款</w:t>
      </w:r>
    </w:p>
    <w:p w14:paraId="6A5B3894">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4"/>
        <w:rPr>
          <w:rFonts w:hint="eastAsia" w:ascii="宋体" w:hAnsi="宋体" w:eastAsia="宋体" w:cs="宋体"/>
          <w:sz w:val="24"/>
          <w:szCs w:val="24"/>
        </w:rPr>
      </w:pPr>
      <w:r>
        <w:rPr>
          <w:rFonts w:hint="eastAsia" w:ascii="宋体" w:hAnsi="宋体" w:eastAsia="宋体" w:cs="宋体"/>
          <w:b/>
          <w:sz w:val="24"/>
          <w:szCs w:val="24"/>
        </w:rPr>
        <w:t xml:space="preserve"> 3.1价格形式</w:t>
      </w:r>
    </w:p>
    <w:p w14:paraId="242D6C5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固定单价合同。完成约定服务事项的含税合同单价为：人民币（大写）元（￥ _____________元）。</w:t>
      </w:r>
    </w:p>
    <w:p w14:paraId="5AD388F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固定总价合同。完成约定服务事项的含税服务费用为：人民币（大写）元（￥_____________ 元）。</w:t>
      </w:r>
    </w:p>
    <w:p w14:paraId="28DDDE1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其他方式。</w:t>
      </w:r>
    </w:p>
    <w:p w14:paraId="1BE23B1D">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4"/>
        <w:rPr>
          <w:rFonts w:hint="eastAsia" w:ascii="宋体" w:hAnsi="宋体" w:eastAsia="宋体" w:cs="宋体"/>
          <w:sz w:val="24"/>
          <w:szCs w:val="24"/>
        </w:rPr>
      </w:pPr>
      <w:r>
        <w:rPr>
          <w:rFonts w:hint="eastAsia" w:ascii="宋体" w:hAnsi="宋体" w:eastAsia="宋体" w:cs="宋体"/>
          <w:b/>
          <w:sz w:val="24"/>
          <w:szCs w:val="24"/>
        </w:rPr>
        <w:t xml:space="preserve"> 3.2合同价款包含范围</w:t>
      </w:r>
    </w:p>
    <w:p w14:paraId="40D3FE9C">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4"/>
        <w:rPr>
          <w:rFonts w:hint="eastAsia" w:ascii="宋体" w:hAnsi="宋体" w:eastAsia="宋体" w:cs="宋体"/>
          <w:sz w:val="24"/>
          <w:szCs w:val="24"/>
        </w:rPr>
      </w:pPr>
      <w:r>
        <w:rPr>
          <w:rFonts w:hint="eastAsia" w:ascii="宋体" w:hAnsi="宋体" w:eastAsia="宋体" w:cs="宋体"/>
          <w:b/>
          <w:sz w:val="24"/>
          <w:szCs w:val="24"/>
        </w:rPr>
        <w:t xml:space="preserve"> 3.3其他需说明的事项：</w:t>
      </w:r>
    </w:p>
    <w:p w14:paraId="6116136A">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四、合同标的及服务范围、地点和时间</w:t>
      </w:r>
    </w:p>
    <w:p w14:paraId="4701C91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4.1项目名称： _____________</w:t>
      </w:r>
    </w:p>
    <w:p w14:paraId="5F21575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4.2服务范围：_____________</w:t>
      </w:r>
    </w:p>
    <w:p w14:paraId="5AE0B97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4.3服务地点：_____________</w:t>
      </w:r>
    </w:p>
    <w:p w14:paraId="73CB249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4.4服务完成时间：_____________</w:t>
      </w:r>
    </w:p>
    <w:p w14:paraId="10410B52">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五、服务内容、质量标准和要求</w:t>
      </w:r>
    </w:p>
    <w:p w14:paraId="20F2009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5.1服务工作量的计量方式：_____________</w:t>
      </w:r>
    </w:p>
    <w:p w14:paraId="677CD68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5.2服务内容：_____________</w:t>
      </w:r>
    </w:p>
    <w:p w14:paraId="423A9E5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5.3技术保障、服务人员组成、所涉及的货物的质量标准：</w:t>
      </w:r>
    </w:p>
    <w:p w14:paraId="2B696BC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（1）服务技术保障：_____________</w:t>
      </w:r>
    </w:p>
    <w:p w14:paraId="0540A72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（2）服务人员组成：_____________</w:t>
      </w:r>
    </w:p>
    <w:p w14:paraId="12F3139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（3）服务设备及物资投入及质量标准：_____________</w:t>
      </w:r>
    </w:p>
    <w:p w14:paraId="64093A0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5.4服务质量标准及要求：</w:t>
      </w:r>
    </w:p>
    <w:p w14:paraId="61B4A31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5.4.1乙方提供的服务或使用的产品、软件等应符合国家知识产权法律、法规的规定；乙方还应保证甲方不受到第三方关于侵犯知识产权及专利权、商标权或工业设计权等知识产权方面的指控，任何第三方如果提出此方面指控均与甲方无关，乙方应与第三方交涉，并承担可能发生的一切法律责任、费用和后果；若甲方因此而遭致损失，则乙方应赔偿该损失。</w:t>
      </w:r>
    </w:p>
    <w:p w14:paraId="24C3881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5.4.2若乙方提供的服务或使用的产品、软件等不符合国家知识产权法律、法规的规定或被有关主管机关认定为侵权或假冒伪劣品，则乙方中标或成交资格将被取消；甲方还将按照有关法律、法规和规章的规定进行处理，具体如下：</w:t>
      </w:r>
    </w:p>
    <w:p w14:paraId="1770CAB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5.4.3其他要求：</w:t>
      </w:r>
    </w:p>
    <w:p w14:paraId="3727AC90">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六、服务履约验收或考核</w:t>
      </w:r>
    </w:p>
    <w:p w14:paraId="6EF5840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甲方按照采购文件、乙方的投标或响应文件和本协议约定的服务内容及质量要求按次组织对乙方所提供服务进行验收，或定期进行服务考核，并根据验收或考核结果支付服务费用。具体如下：</w:t>
      </w:r>
    </w:p>
    <w:p w14:paraId="08BD7E59">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七、甲方的权利与义务</w:t>
      </w:r>
    </w:p>
    <w:p w14:paraId="2E6BD3E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7.1甲方委派___________为联系人，联系方式 ___________，负责与乙方联系。如甲方联系人发生变更，甲方应书面告知乙方。</w:t>
      </w:r>
    </w:p>
    <w:p w14:paraId="12C522D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7.2甲方应为乙方开展服务工作提供必要的工作条件，以及对内对外沟通和配合协助。</w:t>
      </w:r>
    </w:p>
    <w:p w14:paraId="32AB79A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7.3甲方应于___________之前提供服务所需的全部资料，并对所提供材料真实性、完整性、合法性负责。</w:t>
      </w:r>
    </w:p>
    <w:p w14:paraId="1FCDEB1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7.4甲方应对委托服务事项提出明确、合理的要求，并对乙方开展服务过程中需采购人确认事项及时予以确认。甲方根据乙方服务成果提出的建议、方案所做出的决定而导致的损失，非乙方及其委派人员的过错造成由甲方自行承担。</w:t>
      </w:r>
    </w:p>
    <w:p w14:paraId="0A7F850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7.5甲方应按本合同约定及时足额支付服务费用及相关费用。</w:t>
      </w:r>
    </w:p>
    <w:p w14:paraId="39F0039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7.6其他</w:t>
      </w:r>
    </w:p>
    <w:p w14:paraId="3DFE9D4E">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八、乙方的权利与义务</w:t>
      </w:r>
    </w:p>
    <w:p w14:paraId="12815B3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8.1乙方委派___________为联系人，联系方式 ___________，负责与甲方联系。如乙方联系人发生变更，乙方应书面告知甲方</w:t>
      </w:r>
    </w:p>
    <w:p w14:paraId="7FAC5B6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8.2乙方应国家法律法规和{{乙方的权利与义务-响应要求-福建}}等要求开展{{乙方的权利与义务-开展服务-福建}}服务；</w:t>
      </w:r>
    </w:p>
    <w:p w14:paraId="07FA704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8.3乙方及其所委派服务人员应按标准或协议约定方式出具服务成果，并对其真实性和合法性负法律责任；</w:t>
      </w:r>
    </w:p>
    <w:p w14:paraId="3AE703D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8.4乙方对执行业务过程中知悉的国家秘密或甲方的商业秘密保密。除非国家法律法规及行业规范另有规定,或经甲方同意,乙方不得将其知悉的商业秘密和甲方提供的资料对外泄露。</w:t>
      </w:r>
    </w:p>
    <w:p w14:paraId="306FAFE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8.5乙方对服务业务应当单独建档，保存完整的工作记录，并对服务过程使用和暂存甲方的文件、材料和财物应当妥善保管。</w:t>
      </w:r>
    </w:p>
    <w:p w14:paraId="3CB477B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8.6服务工作结束后,乙方将根据情况对甲方服务相关的管理制度及其他事项等提出改进意见。</w:t>
      </w:r>
    </w:p>
    <w:p w14:paraId="3B939A1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8.7乙方完全遵守《中华人民共和国劳动合同法》有关规定和《中华人民共和国妇女权益保障法》中关于“劳动和社会保障权益”的有关要求。</w:t>
      </w:r>
    </w:p>
    <w:p w14:paraId="1BF6146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8.8其他</w:t>
      </w:r>
    </w:p>
    <w:p w14:paraId="1F08CD6C">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九、资金支付方式、时间和条件</w:t>
      </w:r>
      <w:r>
        <w:rPr>
          <w:rFonts w:hint="eastAsia" w:ascii="宋体" w:hAnsi="宋体" w:eastAsia="宋体" w:cs="宋体"/>
          <w:sz w:val="24"/>
          <w:szCs w:val="24"/>
        </w:rPr>
        <w:br w:type="textWrapping"/>
      </w:r>
    </w:p>
    <w:p w14:paraId="3A8D023C">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十、履约保证金</w:t>
      </w:r>
    </w:p>
    <w:p w14:paraId="3E7D778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□有，□无。具体如下：（按照采购文件规定填写）。</w:t>
      </w:r>
    </w:p>
    <w:p w14:paraId="3FFE071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10.1乙方向甲方缴纳人民币 / 元作为本合同的履约保证金。</w:t>
      </w:r>
    </w:p>
    <w:p w14:paraId="55A92E2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10.2履约保证金缴纳形式：支票/汇票/电汇/保函等非现金形式。</w:t>
      </w:r>
    </w:p>
    <w:p w14:paraId="49D53B7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10.3履约保证金合同履行完毕前有效，合同履行完毕后一次性结清退还。</w:t>
      </w:r>
    </w:p>
    <w:p w14:paraId="7B321E7C">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十一、合同期限</w:t>
      </w:r>
      <w:r>
        <w:rPr>
          <w:rFonts w:hint="eastAsia" w:ascii="宋体" w:hAnsi="宋体" w:eastAsia="宋体" w:cs="宋体"/>
          <w:sz w:val="24"/>
          <w:szCs w:val="24"/>
        </w:rPr>
        <w:br w:type="textWrapping"/>
      </w:r>
    </w:p>
    <w:p w14:paraId="134C5089">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十二、保密条款</w:t>
      </w:r>
    </w:p>
    <w:p w14:paraId="1890DD6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12.1对于在采购和合同履行过程中所获悉的属于保密的内容，甲、乙双方均负有保密义务。</w:t>
      </w:r>
    </w:p>
    <w:p w14:paraId="3B4F836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12.2其他</w:t>
      </w:r>
    </w:p>
    <w:p w14:paraId="0E4A579F">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十三、违约责任</w:t>
      </w:r>
    </w:p>
    <w:p w14:paraId="3A5C935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13.1甲方违约责任</w:t>
      </w:r>
    </w:p>
    <w:p w14:paraId="55B91C1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（1）甲方无正当理由拒绝乙方提供合格服务的，甲方应向乙方偿付所拒收合同总价________的违约金</w:t>
      </w:r>
    </w:p>
    <w:p w14:paraId="5D95C55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（2）甲方无故逾期验收和办理合同款项支付手续的,甲方应按逾期付款总额每日________向乙方支付违约金。</w:t>
      </w:r>
    </w:p>
    <w:p w14:paraId="7586F59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（3）其他违约情形</w:t>
      </w:r>
    </w:p>
    <w:p w14:paraId="6879FDB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13.2乙方违约责任</w:t>
      </w:r>
    </w:p>
    <w:p w14:paraId="4FC3F8A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（1）乙方逾期履行服务的，乙方应按逾期交付总额每日________向甲方支付违约金，由甲方从待付货款中扣除。乙方无正当理由逾期超过约定日期________仍不能交付的，视为“乙方不按合同约定履约”；</w:t>
      </w:r>
    </w:p>
    <w:p w14:paraId="1F1A599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（2）乙方所履行的服务不符合合同规定及《采购文件》规定标准的，甲方有权拒绝，乙方愿意整改但逾期履行的，按乙方逾期履行处理。乙方拒绝整改的，视为“乙方不按合同约定履约”</w:t>
      </w:r>
    </w:p>
    <w:p w14:paraId="1DC6D2E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（3）乙方不按合同约定履约的，甲方可以解除采购合同，并对乙方已缴纳的履约保证金作“不予退还”处理。同时，乙方须按以下约定向甲方支付违约金：</w:t>
      </w:r>
    </w:p>
    <w:p w14:paraId="51350AC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（4）其他违约情形</w:t>
      </w:r>
    </w:p>
    <w:p w14:paraId="3586CFFC">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十四、不可抗力事件处理</w:t>
      </w:r>
    </w:p>
    <w:p w14:paraId="1BF451B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本条款中的不可抗力指不能预见、不能避免、不能克服的客观情况，包括但不限于：自然灾害如地震、台风、洪水、火灾及政府行为、法律规定或其适用的变化或其他任何无法预见、避免或控制的事件。因不可抗力造成违约的，遭受不可抗力一方应及时向对方通报不能履行或不能完全履行的理由，并提供相关证明材料。基于上述情况，遭受不可抗力一方延期履行、部分履行或不履行合同的，根据实际情况可部分或全部免于承担违约责任。</w:t>
      </w:r>
    </w:p>
    <w:p w14:paraId="12395AA2">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十五、解决争议的方法</w:t>
      </w:r>
    </w:p>
    <w:p w14:paraId="019671A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15.1甲、乙双方协商解决。</w:t>
      </w:r>
    </w:p>
    <w:p w14:paraId="19B5CD6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15.2若协商解决不成，双方明确按以下第_种方式解决：</w:t>
      </w:r>
    </w:p>
    <w:p w14:paraId="7405A54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1、提交仲裁委员会仲裁，具体如下：</w:t>
      </w:r>
    </w:p>
    <w:p w14:paraId="4590ADD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2、向人民法院提起诉讼。</w:t>
      </w:r>
    </w:p>
    <w:p w14:paraId="2EECE054">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十六、合同其他条款</w:t>
      </w:r>
      <w:r>
        <w:rPr>
          <w:rFonts w:hint="eastAsia" w:ascii="宋体" w:hAnsi="宋体" w:eastAsia="宋体" w:cs="宋体"/>
          <w:sz w:val="24"/>
          <w:szCs w:val="24"/>
        </w:rPr>
        <w:br w:type="textWrapping"/>
      </w:r>
    </w:p>
    <w:p w14:paraId="076CF69B">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十七、其他约定</w:t>
      </w:r>
    </w:p>
    <w:p w14:paraId="58362A1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17.1合同文件与本合同具有同等法律效力。</w:t>
      </w:r>
    </w:p>
    <w:p w14:paraId="4DCC5C7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17.2合同生效：合同经双方法定代表人或委托代理人签字并加盖单位公章后生效；通过福建省政府采购网上公开信息系统采用电子形式签订合同的，签订之日以系统记载的双方使用各自CA证书在合同上加盖单位公章或合同章的日期中的最晚时间为准。</w:t>
      </w:r>
    </w:p>
    <w:p w14:paraId="70FA4FE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17.3本合同未尽事宜，遵照《中华人民共和国民法典》有关条文执行。</w:t>
      </w:r>
    </w:p>
    <w:p w14:paraId="23F07BD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17.4本合同正本一式_______份，具有同等法律效力，甲方、乙方各执_______份；副本_______份，_______</w:t>
      </w:r>
    </w:p>
    <w:p w14:paraId="7EAF0F7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17.5其他</w:t>
      </w:r>
    </w:p>
    <w:p w14:paraId="367FFCAD">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十八、合同附件</w:t>
      </w:r>
    </w:p>
    <w:p w14:paraId="06284026">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3"/>
        <w:rPr>
          <w:rFonts w:hint="eastAsia" w:ascii="宋体" w:hAnsi="宋体" w:eastAsia="宋体" w:cs="宋体"/>
          <w:sz w:val="24"/>
          <w:szCs w:val="24"/>
        </w:rPr>
      </w:pPr>
      <w:r>
        <w:rPr>
          <w:rFonts w:hint="eastAsia" w:ascii="宋体" w:hAnsi="宋体" w:eastAsia="宋体" w:cs="宋体"/>
          <w:b/>
          <w:sz w:val="24"/>
          <w:szCs w:val="24"/>
        </w:rPr>
        <w:t xml:space="preserve"> 十九、合同融资支付约定</w:t>
      </w:r>
    </w:p>
    <w:p w14:paraId="7E521A9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b/>
          <w:sz w:val="24"/>
          <w:szCs w:val="24"/>
        </w:rPr>
        <w:t>19.1本合同已用于政府采购合同融资，为本项目提供合同融资的金融机构为：_______，本合同项下所有款项，甲方须支付至本合同约定的乙方账号，未经_______书面同意，不得变更账号。</w:t>
      </w:r>
    </w:p>
    <w:p w14:paraId="6C15035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中标（成交）供应商应于采购合同签订之日起_______内，向发放政采贷的金融机构提交政府采购中标（成交）通知书和政府采购合同，贷款金额以政府采购合同金额为限。</w:t>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2940E9B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甲方（采购人）：</w:t>
      </w:r>
    </w:p>
    <w:p w14:paraId="619ED4E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法定（授权）代表人：</w:t>
      </w:r>
    </w:p>
    <w:p w14:paraId="29F2A47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纳税人识别号：</w:t>
      </w:r>
    </w:p>
    <w:p w14:paraId="01B748C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开户银行：</w:t>
      </w:r>
    </w:p>
    <w:p w14:paraId="368C376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账号：</w:t>
      </w:r>
    </w:p>
    <w:p w14:paraId="2A34C83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乙方（中标或成交人）：</w:t>
      </w:r>
    </w:p>
    <w:p w14:paraId="66D8CE9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法定（授权）代表人：</w:t>
      </w:r>
    </w:p>
    <w:p w14:paraId="14AD3B4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纳税人识别号：</w:t>
      </w:r>
    </w:p>
    <w:p w14:paraId="15EA249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开户银行：</w:t>
      </w:r>
    </w:p>
    <w:p w14:paraId="6612852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账号：</w:t>
      </w:r>
    </w:p>
    <w:p w14:paraId="1047387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签订地点：_____________</w:t>
      </w:r>
    </w:p>
    <w:p w14:paraId="4777872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签订日期：____年___月___日</w:t>
      </w:r>
    </w:p>
    <w:p w14:paraId="77693076">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1F85E96">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24"/>
          <w:szCs w:val="24"/>
        </w:rPr>
        <w:t>第七章 电子投标文件格式</w:t>
      </w:r>
    </w:p>
    <w:p w14:paraId="07F051EA">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编制说明</w:t>
      </w:r>
    </w:p>
    <w:p w14:paraId="6A9DCD3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1、除招标文件另有规定外，本章中：</w:t>
      </w:r>
    </w:p>
    <w:p w14:paraId="2E02BB4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1.1涉及投标人的“全称”：</w:t>
      </w:r>
    </w:p>
    <w:p w14:paraId="3290951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（1）不接受联合体投标的，指投标人的全称。</w:t>
      </w:r>
    </w:p>
    <w:p w14:paraId="5404290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（2）接受联合体投标且投标人为联合体的，指牵头方的全称并加注（联合体牵头方），即应表述为：“牵头方的全称（联合体牵头方）”。</w:t>
      </w:r>
    </w:p>
    <w:p w14:paraId="347FCC1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1.2涉及投标人“加盖单位公章”：</w:t>
      </w:r>
    </w:p>
    <w:p w14:paraId="671FBBE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（1）不接受联合体投标的，指加盖投标人的单位公章。</w:t>
      </w:r>
    </w:p>
    <w:p w14:paraId="46565B3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（2）接受联合体投标且投标人为联合体的，指加盖联合体牵头方的单位公章。</w:t>
      </w:r>
    </w:p>
    <w:p w14:paraId="5E97305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1.3涉及“投标人代表签字”：</w:t>
      </w:r>
    </w:p>
    <w:p w14:paraId="797277A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（1）不接受联合体投标的，指由投标人的单位负责人或其授权的委托代理人签字，由委托代理人签字的，应提供“单位授权书”。</w:t>
      </w:r>
    </w:p>
    <w:p w14:paraId="4122DA7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（2）接受联合体投标且投标人为联合体的，指由联合体牵头方的单位负责人或其授权的委托代理人签字，由委托代理人签字的，应提供“单位授权书”。</w:t>
      </w:r>
    </w:p>
    <w:p w14:paraId="4CB5ABE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1.4“其他组织”指合伙企业、非企业专业服务机构、个体工商户、农村承包经营户等。</w:t>
      </w:r>
    </w:p>
    <w:p w14:paraId="233198E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1.5“自然人”指具有完全民事行为能力、能够承担民事责任和义务的中国公民。</w:t>
      </w:r>
    </w:p>
    <w:p w14:paraId="179EA4A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2、除招标文件另有规定外，本章中“投标人的资格及资信证明文件”：</w:t>
      </w:r>
    </w:p>
    <w:p w14:paraId="21B6D58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2.1投标人应按照招标文件第四章第1.3条第（2）款规定及本章规定进行编制，如有必要，可增加附页，附页作为资格及资信文件的组成部分。</w:t>
      </w:r>
    </w:p>
    <w:p w14:paraId="5EB08B6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2.2接受联合体投标且投标人为联合体的，联合体中的各方均应按照本章第2.1条规定提交相应的全部资料。</w:t>
      </w:r>
    </w:p>
    <w:p w14:paraId="52F8B10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3、投标人对电子投标文件的索引应编制页码。</w:t>
      </w:r>
    </w:p>
    <w:p w14:paraId="0A09716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4、本章提供格式仅供参考，投标人应根据自身实际情况制作电子投标文件。</w:t>
      </w:r>
    </w:p>
    <w:p w14:paraId="63731A02">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5BEB9E4">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封面格式(资格及资信证明部分)</w:t>
      </w:r>
    </w:p>
    <w:p w14:paraId="4C18798B">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24"/>
          <w:szCs w:val="24"/>
        </w:rPr>
      </w:pPr>
      <w:r>
        <w:rPr>
          <w:rFonts w:hint="eastAsia" w:ascii="宋体" w:hAnsi="宋体" w:eastAsia="宋体" w:cs="宋体"/>
          <w:b/>
          <w:sz w:val="24"/>
          <w:szCs w:val="24"/>
        </w:rPr>
        <w:t>福建省政府采购投标文件</w:t>
      </w:r>
    </w:p>
    <w:p w14:paraId="46560F0D">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24"/>
          <w:szCs w:val="24"/>
        </w:rPr>
      </w:pPr>
      <w:r>
        <w:rPr>
          <w:rFonts w:hint="eastAsia" w:ascii="宋体" w:hAnsi="宋体" w:eastAsia="宋体" w:cs="宋体"/>
          <w:b/>
          <w:sz w:val="24"/>
          <w:szCs w:val="24"/>
        </w:rPr>
        <w:t>（资格及资信证明部分）</w:t>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040EB54E">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24"/>
          <w:szCs w:val="24"/>
        </w:rPr>
        <w:t>（填写正本或副本）</w:t>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59CA0354">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（项目名称：（由投标人填写）</w:t>
      </w:r>
    </w:p>
    <w:p w14:paraId="3B245EBA">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（备案编号：（由投标人填写）</w:t>
      </w:r>
    </w:p>
    <w:p w14:paraId="224FA581">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（项目编号：（由投标人填写）</w:t>
      </w:r>
    </w:p>
    <w:p w14:paraId="1DEAF4B4">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（所投采购包：（由投标人填写）</w:t>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60511B50">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投标人：（填写“全称”）</w:t>
      </w:r>
    </w:p>
    <w:p w14:paraId="00C23D93">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（由投标人填写）年（由投标人填写）月</w:t>
      </w:r>
    </w:p>
    <w:p w14:paraId="1CD76A99">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0F65383B">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索引</w:t>
      </w:r>
    </w:p>
    <w:p w14:paraId="3CC19DD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一、投标函</w:t>
      </w:r>
    </w:p>
    <w:p w14:paraId="1555CB5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二、投标人的资格及资信证明文件</w:t>
      </w:r>
    </w:p>
    <w:p w14:paraId="7D5D5C7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三、投标保证金</w:t>
      </w:r>
    </w:p>
    <w:p w14:paraId="178944D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03D80B2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资格及资信证明部分中不得出现报价部分的全部或部分的投标报价信息（或组成资料），否则资格审查不合格。（联合体协议及分包意向协议中的比例规定，不适用本条款）</w:t>
      </w:r>
    </w:p>
    <w:p w14:paraId="2BFFD889">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207CE232">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一、投标函</w:t>
      </w:r>
    </w:p>
    <w:p w14:paraId="50F7C81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486E125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兹收到贵单位关于</w:t>
      </w:r>
      <w:r>
        <w:rPr>
          <w:rFonts w:hint="eastAsia" w:ascii="宋体" w:hAnsi="宋体" w:eastAsia="宋体" w:cs="宋体"/>
          <w:sz w:val="24"/>
          <w:szCs w:val="24"/>
          <w:u w:val="single"/>
        </w:rPr>
        <w:t xml:space="preserve">（填写“项目名称”） </w:t>
      </w:r>
      <w:r>
        <w:rPr>
          <w:rFonts w:hint="eastAsia" w:ascii="宋体" w:hAnsi="宋体" w:eastAsia="宋体" w:cs="宋体"/>
          <w:sz w:val="24"/>
          <w:szCs w:val="24"/>
        </w:rPr>
        <w:t>项目</w:t>
      </w:r>
      <w:r>
        <w:rPr>
          <w:rFonts w:hint="eastAsia" w:ascii="宋体" w:hAnsi="宋体" w:eastAsia="宋体" w:cs="宋体"/>
          <w:sz w:val="24"/>
          <w:szCs w:val="24"/>
          <w:u w:val="single"/>
        </w:rPr>
        <w:t xml:space="preserve">（项目编号：　　　　　） </w:t>
      </w:r>
      <w:r>
        <w:rPr>
          <w:rFonts w:hint="eastAsia" w:ascii="宋体" w:hAnsi="宋体" w:eastAsia="宋体" w:cs="宋体"/>
          <w:sz w:val="24"/>
          <w:szCs w:val="24"/>
        </w:rPr>
        <w:t>的投标邀请，本投标人代表</w:t>
      </w:r>
      <w:r>
        <w:rPr>
          <w:rFonts w:hint="eastAsia" w:ascii="宋体" w:hAnsi="宋体" w:eastAsia="宋体" w:cs="宋体"/>
          <w:sz w:val="24"/>
          <w:szCs w:val="24"/>
          <w:u w:val="single"/>
        </w:rPr>
        <w:t xml:space="preserve">（填写“全名”） </w:t>
      </w:r>
      <w:r>
        <w:rPr>
          <w:rFonts w:hint="eastAsia" w:ascii="宋体" w:hAnsi="宋体" w:eastAsia="宋体" w:cs="宋体"/>
          <w:sz w:val="24"/>
          <w:szCs w:val="24"/>
        </w:rPr>
        <w:t>已获得我方正式授权并代表投标人（填写“全称”）参加投标，并提交电子投标文件。我方提交的全部电子投标文件由下述部分组成：</w:t>
      </w:r>
    </w:p>
    <w:p w14:paraId="017B719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（1）资格及资信证明部分</w:t>
      </w:r>
    </w:p>
    <w:p w14:paraId="1496904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①投标函</w:t>
      </w:r>
    </w:p>
    <w:p w14:paraId="32AAB40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②投标人的资格及资信证明文件</w:t>
      </w:r>
    </w:p>
    <w:p w14:paraId="7B95451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③投标保证金</w:t>
      </w:r>
    </w:p>
    <w:p w14:paraId="55E426A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（2）报价部分</w:t>
      </w:r>
    </w:p>
    <w:p w14:paraId="3EB3BE6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①开标一览表</w:t>
      </w:r>
    </w:p>
    <w:p w14:paraId="29870EC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②投标分项报价表</w:t>
      </w:r>
    </w:p>
    <w:p w14:paraId="28812EC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③招标文件规定的价格扣除证明材料（若有）</w:t>
      </w:r>
    </w:p>
    <w:p w14:paraId="4F9572F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④招标文件规定的加分证明材料（若有）</w:t>
      </w:r>
    </w:p>
    <w:p w14:paraId="11B96D5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（3）技术商务部分</w:t>
      </w:r>
    </w:p>
    <w:p w14:paraId="2825C0F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①标的说明一览表</w:t>
      </w:r>
    </w:p>
    <w:p w14:paraId="7CF7A3D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②技术和服务要求响应表</w:t>
      </w:r>
    </w:p>
    <w:p w14:paraId="3FE7144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③商务条件响应表</w:t>
      </w:r>
    </w:p>
    <w:p w14:paraId="02BAC8F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④投标人提交的其他资料（若有）</w:t>
      </w:r>
    </w:p>
    <w:p w14:paraId="57CA5E3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根据本函，本投标人代表宣布我方保证遵守招标文件的全部规定，同时：</w:t>
      </w:r>
    </w:p>
    <w:p w14:paraId="5E67882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1、确认：</w:t>
      </w:r>
    </w:p>
    <w:p w14:paraId="777FEEF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1.1所投采购包的投标报价详见“开标一览表”及“投标分项报价表”。</w:t>
      </w:r>
    </w:p>
    <w:p w14:paraId="3906C46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1.2我方已详细审查全部招标文件[包括但不限于：有关附件（若有）、澄清或修改（若有）等]，并自行承担因对全部招标文件理解不正确或误解而产生的相应后果和责任。</w:t>
      </w:r>
    </w:p>
    <w:p w14:paraId="61F8A2B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2、承诺及声明：</w:t>
      </w:r>
    </w:p>
    <w:p w14:paraId="7345C0B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2.1我方具备招标文件第一章载明的“投标人的资格要求”且符合招标文件第三章载明的“二、投标人”之规定，否则投标无效。</w:t>
      </w:r>
    </w:p>
    <w:p w14:paraId="110EDE5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2.2我方提交的电子投标文件各组成部分的全部内容及资料是不可割离且真实、有效、准确、完整和不具有任何误导性的，否则产生不利后果由我方承担责任。</w:t>
      </w:r>
    </w:p>
    <w:p w14:paraId="22435FA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2.3我方提供的标的价格不高于同期市场价格，否则产生不利后果由我方承担责任。</w:t>
      </w:r>
    </w:p>
    <w:p w14:paraId="56BAA70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2.4投标保证金：若出现招标文件第三章规定的不予退还情形，同意贵单位不予退还。</w:t>
      </w:r>
    </w:p>
    <w:p w14:paraId="03EEC2C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2.5投标有效期：按照招标文件第三章规定执行，并在招标文件第二章载明的期限内保持有效。</w:t>
      </w:r>
    </w:p>
    <w:p w14:paraId="0CE667C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2.6若中标，将按照招标文件、我方电子投标文件及政府采购合同履行责任和义务。</w:t>
      </w:r>
    </w:p>
    <w:p w14:paraId="2B6B404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2.7若贵单位要求，我方同意提供与本项目投标有关的一切资料、数据或文件，并完全理解贵单位不一定要接受最低的投标报价或收到的任何投标。</w:t>
      </w:r>
    </w:p>
    <w:p w14:paraId="1D2E792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2.8 我方承诺遵守《中华人民共和国劳动合同法》有关规定和《中华人民共和国妇女权益保障法 》中关于“劳动和社会保障权益”的有关要求。</w:t>
      </w:r>
    </w:p>
    <w:p w14:paraId="75C348B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2.9我方承诺电子投标文件所提供的全部资料真实可靠，并接受评标委员会、采购人、采购代理机构、监管部门进一步审查其中任何资料真实性的要求。</w:t>
      </w:r>
    </w:p>
    <w:p w14:paraId="7FAEAF0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2.10除招标文件另有规定外，对于贵单位按照下述联络方式发出的任何信息或通知，均视为我方已收悉前述信息或通知的全部内容：</w:t>
      </w:r>
    </w:p>
    <w:p w14:paraId="6C0C508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通信地址：                                        </w:t>
      </w:r>
    </w:p>
    <w:p w14:paraId="462565B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邮编：                                           </w:t>
      </w:r>
    </w:p>
    <w:p w14:paraId="297C527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联系方法：（包括但不限于：联系人、联系电话、手机、传真、电子邮箱等）</w:t>
      </w:r>
    </w:p>
    <w:p w14:paraId="19B8D9E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投标人：（全称并加盖单位公章）</w:t>
      </w:r>
    </w:p>
    <w:p w14:paraId="4684E36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日期：    年   月   日</w:t>
      </w:r>
    </w:p>
    <w:p w14:paraId="2B7122C4">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3EBB244F">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二、投标人的资格及资信证明文件</w:t>
      </w:r>
    </w:p>
    <w:p w14:paraId="4A85638C">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二-1单位授权书（若有）</w:t>
      </w:r>
    </w:p>
    <w:p w14:paraId="27BAEBE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7294780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我方的单位负责人</w:t>
      </w:r>
      <w:r>
        <w:rPr>
          <w:rFonts w:hint="eastAsia" w:ascii="宋体" w:hAnsi="宋体" w:eastAsia="宋体" w:cs="宋体"/>
          <w:sz w:val="24"/>
          <w:szCs w:val="24"/>
          <w:u w:val="single"/>
        </w:rPr>
        <w:t>（填写“单位负责人全名”）</w:t>
      </w:r>
      <w:r>
        <w:rPr>
          <w:rFonts w:hint="eastAsia" w:ascii="宋体" w:hAnsi="宋体" w:eastAsia="宋体" w:cs="宋体"/>
          <w:sz w:val="24"/>
          <w:szCs w:val="24"/>
        </w:rPr>
        <w:t>授权</w:t>
      </w:r>
      <w:r>
        <w:rPr>
          <w:rFonts w:hint="eastAsia" w:ascii="宋体" w:hAnsi="宋体" w:eastAsia="宋体" w:cs="宋体"/>
          <w:sz w:val="24"/>
          <w:szCs w:val="24"/>
          <w:u w:val="single"/>
        </w:rPr>
        <w:t>（填写“投标人代表全名”）</w:t>
      </w:r>
      <w:r>
        <w:rPr>
          <w:rFonts w:hint="eastAsia" w:ascii="宋体" w:hAnsi="宋体" w:eastAsia="宋体" w:cs="宋体"/>
          <w:sz w:val="24"/>
          <w:szCs w:val="24"/>
        </w:rPr>
        <w:t>为投标人代表，代表我方参加</w:t>
      </w:r>
      <w:r>
        <w:rPr>
          <w:rFonts w:hint="eastAsia" w:ascii="宋体" w:hAnsi="宋体" w:eastAsia="宋体" w:cs="宋体"/>
          <w:sz w:val="24"/>
          <w:szCs w:val="24"/>
          <w:u w:val="single"/>
        </w:rPr>
        <w:t>（填写“项目名称”）</w:t>
      </w:r>
      <w:r>
        <w:rPr>
          <w:rFonts w:hint="eastAsia" w:ascii="宋体" w:hAnsi="宋体" w:eastAsia="宋体" w:cs="宋体"/>
          <w:sz w:val="24"/>
          <w:szCs w:val="24"/>
        </w:rPr>
        <w:t>项目（项目编号：</w:t>
      </w:r>
      <w:r>
        <w:rPr>
          <w:rFonts w:hint="eastAsia" w:ascii="宋体" w:hAnsi="宋体" w:eastAsia="宋体" w:cs="宋体"/>
          <w:sz w:val="24"/>
          <w:szCs w:val="24"/>
          <w:u w:val="single"/>
        </w:rPr>
        <w:t>　　　　　</w:t>
      </w:r>
      <w:r>
        <w:rPr>
          <w:rFonts w:hint="eastAsia" w:ascii="宋体" w:hAnsi="宋体" w:eastAsia="宋体" w:cs="宋体"/>
          <w:sz w:val="24"/>
          <w:szCs w:val="24"/>
        </w:rPr>
        <w:t>）的投标，全权代表我方处理投标过程的一切事宜，包括但不限于：投标、参加开标、谈判、澄清、签约等。投标人代表在投标过程中所签署的一切文件和处理与之有关的一切事务，我方均予以认可并对此承担责任。</w:t>
      </w:r>
    </w:p>
    <w:p w14:paraId="17239E6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投标人代表无转委权。特此授权。</w:t>
      </w:r>
    </w:p>
    <w:p w14:paraId="70ED7C4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（以下无正文）</w:t>
      </w:r>
    </w:p>
    <w:p w14:paraId="5763043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单位负责人：</w:t>
      </w:r>
      <w:r>
        <w:rPr>
          <w:rFonts w:hint="eastAsia" w:ascii="宋体" w:hAnsi="宋体" w:eastAsia="宋体" w:cs="宋体"/>
          <w:sz w:val="24"/>
          <w:szCs w:val="24"/>
          <w:u w:val="single"/>
        </w:rPr>
        <w:t>　　　　　</w:t>
      </w:r>
      <w:r>
        <w:rPr>
          <w:rFonts w:hint="eastAsia" w:ascii="宋体" w:hAnsi="宋体" w:eastAsia="宋体" w:cs="宋体"/>
          <w:sz w:val="24"/>
          <w:szCs w:val="24"/>
        </w:rPr>
        <w:t>身份证号：</w:t>
      </w:r>
      <w:r>
        <w:rPr>
          <w:rFonts w:hint="eastAsia" w:ascii="宋体" w:hAnsi="宋体" w:eastAsia="宋体" w:cs="宋体"/>
          <w:sz w:val="24"/>
          <w:szCs w:val="24"/>
          <w:u w:val="single"/>
        </w:rPr>
        <w:t>　　　　　</w:t>
      </w:r>
      <w:r>
        <w:rPr>
          <w:rFonts w:hint="eastAsia" w:ascii="宋体" w:hAnsi="宋体" w:eastAsia="宋体" w:cs="宋体"/>
          <w:sz w:val="24"/>
          <w:szCs w:val="24"/>
        </w:rPr>
        <w:t>手机：</w:t>
      </w:r>
      <w:r>
        <w:rPr>
          <w:rFonts w:hint="eastAsia" w:ascii="宋体" w:hAnsi="宋体" w:eastAsia="宋体" w:cs="宋体"/>
          <w:sz w:val="24"/>
          <w:szCs w:val="24"/>
          <w:u w:val="single"/>
        </w:rPr>
        <w:t>　　　　　</w:t>
      </w:r>
    </w:p>
    <w:p w14:paraId="5B7C5A3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投标人代表：</w:t>
      </w:r>
      <w:r>
        <w:rPr>
          <w:rFonts w:hint="eastAsia" w:ascii="宋体" w:hAnsi="宋体" w:eastAsia="宋体" w:cs="宋体"/>
          <w:sz w:val="24"/>
          <w:szCs w:val="24"/>
          <w:u w:val="single"/>
        </w:rPr>
        <w:t>　　　　　</w:t>
      </w:r>
      <w:r>
        <w:rPr>
          <w:rFonts w:hint="eastAsia" w:ascii="宋体" w:hAnsi="宋体" w:eastAsia="宋体" w:cs="宋体"/>
          <w:sz w:val="24"/>
          <w:szCs w:val="24"/>
        </w:rPr>
        <w:t>身份证号：</w:t>
      </w:r>
      <w:r>
        <w:rPr>
          <w:rFonts w:hint="eastAsia" w:ascii="宋体" w:hAnsi="宋体" w:eastAsia="宋体" w:cs="宋体"/>
          <w:sz w:val="24"/>
          <w:szCs w:val="24"/>
          <w:u w:val="single"/>
        </w:rPr>
        <w:t>　　　　　</w:t>
      </w:r>
      <w:r>
        <w:rPr>
          <w:rFonts w:hint="eastAsia" w:ascii="宋体" w:hAnsi="宋体" w:eastAsia="宋体" w:cs="宋体"/>
          <w:sz w:val="24"/>
          <w:szCs w:val="24"/>
        </w:rPr>
        <w:t>手机：</w:t>
      </w:r>
      <w:r>
        <w:rPr>
          <w:rFonts w:hint="eastAsia" w:ascii="宋体" w:hAnsi="宋体" w:eastAsia="宋体" w:cs="宋体"/>
          <w:sz w:val="24"/>
          <w:szCs w:val="24"/>
          <w:u w:val="single"/>
        </w:rPr>
        <w:t>　　　　　</w:t>
      </w:r>
    </w:p>
    <w:p w14:paraId="5244166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授权方</w:t>
      </w:r>
    </w:p>
    <w:p w14:paraId="1DF2F77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19ADDA87">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签署日期： 年 月 日</w:t>
      </w:r>
    </w:p>
    <w:p w14:paraId="04679AE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附：单位负责人、投标人代表的身份证正反面复印件</w:t>
      </w:r>
    </w:p>
    <w:p w14:paraId="61CD2967">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要求：真实有效且内容完整、清晰、整洁。</w:t>
      </w:r>
    </w:p>
    <w:p w14:paraId="544A0FF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7F6F4AA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1、企业（银行、保险、石油石化、电力、电信等行业除外）、事业单位和社会团体法人的“单位负责人”指法定代表人，即与实际提交的“营业执照等证明文件”载明的一致。</w:t>
      </w:r>
    </w:p>
    <w:p w14:paraId="21D40CE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银行、保险、石油石化、电力、电信等行业：以法人身份参加投标的，“单位负责人”指法定代表人，即与实际提交的“营业执照等证明文件”载明的一致；以非法人身份参加投标的，“单位负责人”指代表单位行使职权的主要负责人，即与实际提交的“营业执照等证明文件”载明的一致。</w:t>
      </w:r>
    </w:p>
    <w:p w14:paraId="399A695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3、投标人（自然人除外）：若投标人代表为单位授权的委托代理人，应提供本授权书；若投标人代表为单位负责人，应在此项下提交其身份证正反面复印件，可不提供本授权书。</w:t>
      </w:r>
    </w:p>
    <w:p w14:paraId="221A325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4、投标人为自然人的，可不填写本授权书。</w:t>
      </w:r>
    </w:p>
    <w:p w14:paraId="70001EC0">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1FC786C6">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二-2 证明材料</w:t>
      </w:r>
    </w:p>
    <w:p w14:paraId="40D18C7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根据招标文件第四章第一资格审查的1.3的“④其他资格证明文件”要求，允许供应商采用资格承诺制的，可提供符合要求的二-2-1资格承诺函，视为满足招标文件的资格要求，投标人根据投标文件格式二-2-1、二-2-2提供其中一种证明材料，若重复提供导致的不利后果，由投标人自行负责。</w:t>
      </w:r>
    </w:p>
    <w:p w14:paraId="4B3901DD">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二-2-1 福建省政府采购供应商资格承诺函</w:t>
      </w:r>
    </w:p>
    <w:p w14:paraId="7320D1B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68592202">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单位名称(自然人姓名):</w:t>
      </w:r>
    </w:p>
    <w:p w14:paraId="73847795">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统一社会信用代码(自然人身份证号码):</w:t>
      </w:r>
    </w:p>
    <w:p w14:paraId="479B1BB6">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法定代表人(负责人):</w:t>
      </w:r>
    </w:p>
    <w:p w14:paraId="22BC9775">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联系地址和电话:</w:t>
      </w:r>
    </w:p>
    <w:p w14:paraId="2B94BAC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我单位(本人)自愿参加本次政府采购活动，严格遵守《中华人民共和国政府采购法》及相关法律法规，坚守公开、公平公正和诚实信用等原则，依法诚信经营，并郑重承诺:</w:t>
      </w:r>
    </w:p>
    <w:p w14:paraId="5373F55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一、我单位(本人)具备采购文件要求以及《中华人民共和国政府采购法》第二十二条规定的条件:</w:t>
      </w:r>
    </w:p>
    <w:p w14:paraId="39F440BF">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1.具有独立承担民事责任的能力;</w:t>
      </w:r>
    </w:p>
    <w:p w14:paraId="77831CC5">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2.具有良好的商业信誉和健全的财务会计制度;</w:t>
      </w:r>
    </w:p>
    <w:p w14:paraId="3647A276">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3.具有履行合同所必需的设备和专业技术能力;</w:t>
      </w:r>
    </w:p>
    <w:p w14:paraId="4DEC77A2">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4.有依法缴纳税收和社会保障资金的良好记录;</w:t>
      </w:r>
    </w:p>
    <w:p w14:paraId="5D783713">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5.参加政府采购活动前三年内，在经营活动中没有重大违法记录；</w:t>
      </w:r>
    </w:p>
    <w:p w14:paraId="3925BF40">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6.法律、行政法规规定的其他条件。</w:t>
      </w:r>
    </w:p>
    <w:p w14:paraId="0F98EDE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7D40608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078CB38B">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供应商：</w:t>
      </w:r>
      <w:r>
        <w:rPr>
          <w:rFonts w:hint="eastAsia" w:ascii="宋体" w:hAnsi="宋体" w:eastAsia="宋体" w:cs="宋体"/>
          <w:sz w:val="24"/>
          <w:szCs w:val="24"/>
          <w:u w:val="single"/>
        </w:rPr>
        <w:t>名称(单位公章):</w:t>
      </w:r>
    </w:p>
    <w:p w14:paraId="44270634">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2237EB0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w:t>
      </w:r>
    </w:p>
    <w:p w14:paraId="2E1D5C3F">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1.我单位(本人)专指参加政府采购活动的供应商(含自然人)；</w:t>
      </w:r>
    </w:p>
    <w:p w14:paraId="77F00FB4">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2.资格承诺的供应商应在投标(响应)文件中按此模板提供承诺函，否则，视为未按照招标文件规定提交投标人的资格及资信文件，按资格审查不通过处理。</w:t>
      </w:r>
    </w:p>
    <w:p w14:paraId="07E5B6BD">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6B16F870">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二-2-2 资格证明材料</w:t>
      </w:r>
    </w:p>
    <w:p w14:paraId="64ACDDA7">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营业执照等证明文件</w:t>
      </w:r>
    </w:p>
    <w:p w14:paraId="14DAD8F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62E51ED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）投标人为法人（包括企业、事业单位和社会团体）的</w:t>
      </w:r>
    </w:p>
    <w:p w14:paraId="5C57572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现附上由</w:t>
      </w:r>
      <w:r>
        <w:rPr>
          <w:rFonts w:hint="eastAsia" w:ascii="宋体" w:hAnsi="宋体" w:eastAsia="宋体" w:cs="宋体"/>
          <w:sz w:val="24"/>
          <w:szCs w:val="24"/>
          <w:u w:val="single"/>
        </w:rPr>
        <w:t>（（填写“签发机关全称”）</w:t>
      </w:r>
      <w:r>
        <w:rPr>
          <w:rFonts w:hint="eastAsia" w:ascii="宋体" w:hAnsi="宋体" w:eastAsia="宋体" w:cs="宋体"/>
          <w:sz w:val="24"/>
          <w:szCs w:val="24"/>
        </w:rPr>
        <w:t>签发的我方统一社会信用代码（请填写法人的具体证照名称）复印件，该证明材料真实有效，否则我方负全部责任。</w:t>
      </w:r>
    </w:p>
    <w:p w14:paraId="00B2DE9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）投标人为非法人（包括其他组织、自然人）的</w:t>
      </w:r>
    </w:p>
    <w:p w14:paraId="3BE5899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□现附上由</w:t>
      </w:r>
      <w:r>
        <w:rPr>
          <w:rFonts w:hint="eastAsia" w:ascii="宋体" w:hAnsi="宋体" w:eastAsia="宋体" w:cs="宋体"/>
          <w:sz w:val="24"/>
          <w:szCs w:val="24"/>
          <w:u w:val="single"/>
        </w:rPr>
        <w:t>（（填写“签发机关全称”）</w:t>
      </w:r>
      <w:r>
        <w:rPr>
          <w:rFonts w:hint="eastAsia" w:ascii="宋体" w:hAnsi="宋体" w:eastAsia="宋体" w:cs="宋体"/>
          <w:sz w:val="24"/>
          <w:szCs w:val="24"/>
        </w:rPr>
        <w:t>签发的我方（请填写非自然人的非法人的具体证照名称）复印件，该证明材料真实有效，否则我方负全部责任。</w:t>
      </w:r>
    </w:p>
    <w:p w14:paraId="35615FC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□现附上由</w:t>
      </w:r>
      <w:r>
        <w:rPr>
          <w:rFonts w:hint="eastAsia" w:ascii="宋体" w:hAnsi="宋体" w:eastAsia="宋体" w:cs="宋体"/>
          <w:sz w:val="24"/>
          <w:szCs w:val="24"/>
          <w:u w:val="single"/>
        </w:rPr>
        <w:t>（（填写“签发机关全称”）</w:t>
      </w:r>
      <w:r>
        <w:rPr>
          <w:rFonts w:hint="eastAsia" w:ascii="宋体" w:hAnsi="宋体" w:eastAsia="宋体" w:cs="宋体"/>
          <w:sz w:val="24"/>
          <w:szCs w:val="24"/>
        </w:rPr>
        <w:t>签发的我方（请填写自然人的身份证件名称）复印件，该证明材料真实有效，否则我方负全部责任。</w:t>
      </w:r>
    </w:p>
    <w:p w14:paraId="0FDE7FF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5D00A5A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1、请投标人按照实际情况编制填写，在相应的（）中打“√”并选择相应的“□”（若有）后，再按照本格式的要求提供相应证明材料的复印件。</w:t>
      </w:r>
    </w:p>
    <w:p w14:paraId="5956491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p w14:paraId="15D98785">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4330B61A">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179D28D1">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494E08A">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财务状况报告（财务报告、或资信证明）</w:t>
      </w:r>
    </w:p>
    <w:p w14:paraId="4499E7C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5595841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）投标人提供财务报告的</w:t>
      </w:r>
    </w:p>
    <w:p w14:paraId="35D60F7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□企业适用：现附上我方</w:t>
      </w:r>
      <w:r>
        <w:rPr>
          <w:rFonts w:hint="eastAsia" w:ascii="宋体" w:hAnsi="宋体" w:eastAsia="宋体" w:cs="宋体"/>
          <w:sz w:val="24"/>
          <w:szCs w:val="24"/>
          <w:u w:val="single"/>
        </w:rPr>
        <w:t>（填写“具体的年度、或半年度、季度”）</w:t>
      </w:r>
      <w:r>
        <w:rPr>
          <w:rFonts w:hint="eastAsia" w:ascii="宋体" w:hAnsi="宋体" w:eastAsia="宋体" w:cs="宋体"/>
          <w:sz w:val="24"/>
          <w:szCs w:val="24"/>
        </w:rPr>
        <w:t>财务报告复印件，包括资产负债表、利润表、现金流量表、所有者权益变动表（若有）及其附注（若有）、会计师事务所营业执照和注册会计师资格证书，上述证明材料真实有效，否则我方负全部责任。</w:t>
      </w:r>
    </w:p>
    <w:p w14:paraId="010DFA2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□事业单位适用：现附上我方</w:t>
      </w:r>
      <w:r>
        <w:rPr>
          <w:rFonts w:hint="eastAsia" w:ascii="宋体" w:hAnsi="宋体" w:eastAsia="宋体" w:cs="宋体"/>
          <w:sz w:val="24"/>
          <w:szCs w:val="24"/>
          <w:u w:val="single"/>
        </w:rPr>
        <w:t>（填写“具体的年度、或半年度、或季度”）</w:t>
      </w:r>
      <w:r>
        <w:rPr>
          <w:rFonts w:hint="eastAsia" w:ascii="宋体" w:hAnsi="宋体" w:eastAsia="宋体" w:cs="宋体"/>
          <w:sz w:val="24"/>
          <w:szCs w:val="24"/>
        </w:rPr>
        <w:t>财务报告复印件，包括资产负债表、收入支出表（或收入费用表）、财政补助收入支出表（若有）、会计师事务所营业执照和注册会计师资格证书，上述证明材料真实有效，否则我方负全部责任。</w:t>
      </w:r>
    </w:p>
    <w:p w14:paraId="31D633F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□社会团体、民办非企适用：现附上我方</w:t>
      </w:r>
      <w:r>
        <w:rPr>
          <w:rFonts w:hint="eastAsia" w:ascii="宋体" w:hAnsi="宋体" w:eastAsia="宋体" w:cs="宋体"/>
          <w:sz w:val="24"/>
          <w:szCs w:val="24"/>
          <w:u w:val="single"/>
        </w:rPr>
        <w:t>（填写“具体的年度、或半年度、或季度”）</w:t>
      </w:r>
      <w:r>
        <w:rPr>
          <w:rFonts w:hint="eastAsia" w:ascii="宋体" w:hAnsi="宋体" w:eastAsia="宋体" w:cs="宋体"/>
          <w:sz w:val="24"/>
          <w:szCs w:val="24"/>
        </w:rPr>
        <w:t>财务报告复印件，包括资产负债表、业务活动表、现金流量表、会计师事务所营业执照和注册会计师资格证书，上述证明材料真实有效，否则我方负全部责任。</w:t>
      </w:r>
    </w:p>
    <w:p w14:paraId="3E75239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）投标人提供资信证明的</w:t>
      </w:r>
    </w:p>
    <w:p w14:paraId="7B7C2CC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□非自然人适用（包括企业、事业单位、社会团体和其他组织）：现附上我方银行：</w:t>
      </w:r>
      <w:r>
        <w:rPr>
          <w:rFonts w:hint="eastAsia" w:ascii="宋体" w:hAnsi="宋体" w:eastAsia="宋体" w:cs="宋体"/>
          <w:sz w:val="24"/>
          <w:szCs w:val="24"/>
          <w:u w:val="single"/>
        </w:rPr>
        <w:t>（填写“开户银行全称”）</w:t>
      </w:r>
      <w:r>
        <w:rPr>
          <w:rFonts w:hint="eastAsia" w:ascii="宋体" w:hAnsi="宋体" w:eastAsia="宋体" w:cs="宋体"/>
          <w:sz w:val="24"/>
          <w:szCs w:val="24"/>
        </w:rPr>
        <w:t>出具的资信证明复印件，上述证明材料真实有效，否则我方负全部责任。</w:t>
      </w:r>
    </w:p>
    <w:p w14:paraId="397EF11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□自然人适用：现附上我方银行</w:t>
      </w:r>
      <w:r>
        <w:rPr>
          <w:rFonts w:hint="eastAsia" w:ascii="宋体" w:hAnsi="宋体" w:eastAsia="宋体" w:cs="宋体"/>
          <w:sz w:val="24"/>
          <w:szCs w:val="24"/>
          <w:u w:val="single"/>
        </w:rPr>
        <w:t>：（填写自然人的“个人账户的开户银行全称”）</w:t>
      </w:r>
      <w:r>
        <w:rPr>
          <w:rFonts w:hint="eastAsia" w:ascii="宋体" w:hAnsi="宋体" w:eastAsia="宋体" w:cs="宋体"/>
          <w:sz w:val="24"/>
          <w:szCs w:val="24"/>
        </w:rPr>
        <w:t>出具的资信证明复印件，上述证明材料真实有效，否则我方负全部责任。</w:t>
      </w:r>
    </w:p>
    <w:p w14:paraId="4015792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46FB576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1、请投标人按照实际情况编制填写，在相应的（）中打“√”并选择相应的“□”（若有）后，再按照本格式的要求提供相应证明材料的复印件。</w:t>
      </w:r>
    </w:p>
    <w:p w14:paraId="0F9FD61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2、投标人提供的财务报告复印件（成立年限按照投标截止时间推算）应符合下列规定：</w:t>
      </w:r>
    </w:p>
    <w:p w14:paraId="1F5BD04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2.1成立年限满1年及以上的投标人，提供经审计的招标文件规定的年度财务报告。</w:t>
      </w:r>
    </w:p>
    <w:p w14:paraId="692BBDE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2.2成立年限满半年但不足1年的投标人，提供该半年度中任一季度的季度财务报告或该半年度的半年度财务报告。</w:t>
      </w:r>
    </w:p>
    <w:p w14:paraId="370AAB8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无法按照本格式第2.1、2.2条规定提供财务报告复印件的投标人（包括但不限于：成立年限满1年及以上的投标人、成立年限满半年但不足1年的投标人、成立年限不足半年的投标人），应按照本格式的要求选择提供资信证明复印件。</w:t>
      </w:r>
    </w:p>
    <w:p w14:paraId="3A5E3FE1">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78A6FD91">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33DD8B12">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75B175DE">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依法缴纳税收证明材料</w:t>
      </w:r>
    </w:p>
    <w:p w14:paraId="7D9CF8D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636EFB2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1、依法缴纳税收的投标人</w:t>
      </w:r>
    </w:p>
    <w:p w14:paraId="57D0605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）法人（包括企业、事业单位和社会团体）的</w:t>
      </w:r>
    </w:p>
    <w:p w14:paraId="1B9CB28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现附上自</w:t>
      </w:r>
      <w:r>
        <w:rPr>
          <w:rFonts w:hint="eastAsia" w:ascii="宋体" w:hAnsi="宋体" w:eastAsia="宋体" w:cs="宋体"/>
          <w:sz w:val="24"/>
          <w:szCs w:val="24"/>
          <w:u w:val="single"/>
        </w:rPr>
        <w:t>　　年　　月　　日</w:t>
      </w:r>
      <w:r>
        <w:rPr>
          <w:rFonts w:hint="eastAsia" w:ascii="宋体" w:hAnsi="宋体" w:eastAsia="宋体" w:cs="宋体"/>
          <w:sz w:val="24"/>
          <w:szCs w:val="24"/>
        </w:rPr>
        <w:t>至</w:t>
      </w:r>
      <w:r>
        <w:rPr>
          <w:rFonts w:hint="eastAsia" w:ascii="宋体" w:hAnsi="宋体" w:eastAsia="宋体" w:cs="宋体"/>
          <w:sz w:val="24"/>
          <w:szCs w:val="24"/>
          <w:u w:val="single"/>
        </w:rPr>
        <w:t>　　年　　月　　日</w:t>
      </w:r>
      <w:r>
        <w:rPr>
          <w:rFonts w:hint="eastAsia" w:ascii="宋体" w:hAnsi="宋体" w:eastAsia="宋体" w:cs="宋体"/>
          <w:sz w:val="24"/>
          <w:szCs w:val="24"/>
        </w:rPr>
        <w:t>期间我方缴纳（包括但不限于税务机关出具的专用收据、税收缴纳证明或税收代缴银行的缴款收讫凭证）等税收凭据复印件，上述证明材料真实有效，否则我方负全部责任。</w:t>
      </w:r>
    </w:p>
    <w:p w14:paraId="3B8ACB1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）非法人（包括其他组织、自然人）的</w:t>
      </w:r>
    </w:p>
    <w:p w14:paraId="170925A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现附上自</w:t>
      </w:r>
      <w:r>
        <w:rPr>
          <w:rFonts w:hint="eastAsia" w:ascii="宋体" w:hAnsi="宋体" w:eastAsia="宋体" w:cs="宋体"/>
          <w:sz w:val="24"/>
          <w:szCs w:val="24"/>
          <w:u w:val="single"/>
        </w:rPr>
        <w:t>　　年　　月　　日</w:t>
      </w:r>
      <w:r>
        <w:rPr>
          <w:rFonts w:hint="eastAsia" w:ascii="宋体" w:hAnsi="宋体" w:eastAsia="宋体" w:cs="宋体"/>
          <w:sz w:val="24"/>
          <w:szCs w:val="24"/>
        </w:rPr>
        <w:t>至</w:t>
      </w:r>
      <w:r>
        <w:rPr>
          <w:rFonts w:hint="eastAsia" w:ascii="宋体" w:hAnsi="宋体" w:eastAsia="宋体" w:cs="宋体"/>
          <w:sz w:val="24"/>
          <w:szCs w:val="24"/>
          <w:u w:val="single"/>
        </w:rPr>
        <w:t>　　年　　月　　日</w:t>
      </w:r>
      <w:r>
        <w:rPr>
          <w:rFonts w:hint="eastAsia" w:ascii="宋体" w:hAnsi="宋体" w:eastAsia="宋体" w:cs="宋体"/>
          <w:sz w:val="24"/>
          <w:szCs w:val="24"/>
        </w:rPr>
        <w:t>期间我方缴纳（包括但不限于税务机关出具的专用收据、税收缴纳证明或税收代缴银行的缴款收讫凭证）等税收凭据复印件，上述证明材料真实有效，否则我方负全部责任。</w:t>
      </w:r>
    </w:p>
    <w:p w14:paraId="6A7B98F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2、依法免税的投标人</w:t>
      </w:r>
    </w:p>
    <w:p w14:paraId="5D95DD9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）现附上我方依法免税的证明材料复印件，上述证明材料真实有效，否则我方负全部责任。</w:t>
      </w:r>
    </w:p>
    <w:p w14:paraId="12A00BA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2245F34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1、请投标人按照实际情况编制填写，在相应的（）中打“√”，并按照本格式的要求提供相应证明材料的复印件。</w:t>
      </w:r>
    </w:p>
    <w:p w14:paraId="1AC5057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2、投标人提供的税收缴纳凭据复印件应符合下列规定：</w:t>
      </w:r>
    </w:p>
    <w:p w14:paraId="2561721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2.1投标截止时间前（不含投标截止时间的当月）已依法缴纳税收的投标人，提供投标截止时间前六个月（不含投标截止时间的当月）中任一月份的税收缴纳凭据复印件。</w:t>
      </w:r>
    </w:p>
    <w:p w14:paraId="45DC7AC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2.2投标截止时间的当月成立的投标人，视同满足本项资格条件要求。</w:t>
      </w:r>
    </w:p>
    <w:p w14:paraId="2297DF6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3、若为依法免税范围的投标人，提供依法免税证明材料的，视同满足本项资格条件要求。</w:t>
      </w:r>
    </w:p>
    <w:p w14:paraId="3025A4BA">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06C60AB6">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17E11FFC">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404FF45C">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依法缴纳社会保障资金证明材料</w:t>
      </w:r>
    </w:p>
    <w:p w14:paraId="1F732E1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7F9634D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1、依法缴纳社会保障资金的投标人</w:t>
      </w:r>
    </w:p>
    <w:p w14:paraId="129AE83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）法人（包括企业、事业单位和社会团体）的</w:t>
      </w:r>
    </w:p>
    <w:p w14:paraId="7048FAD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现附上自</w:t>
      </w:r>
      <w:r>
        <w:rPr>
          <w:rFonts w:hint="eastAsia" w:ascii="宋体" w:hAnsi="宋体" w:eastAsia="宋体" w:cs="宋体"/>
          <w:sz w:val="24"/>
          <w:szCs w:val="24"/>
          <w:u w:val="single"/>
        </w:rPr>
        <w:t>　　年　　月　　日</w:t>
      </w:r>
      <w:r>
        <w:rPr>
          <w:rFonts w:hint="eastAsia" w:ascii="宋体" w:hAnsi="宋体" w:eastAsia="宋体" w:cs="宋体"/>
          <w:sz w:val="24"/>
          <w:szCs w:val="24"/>
        </w:rPr>
        <w:t>至</w:t>
      </w:r>
      <w:r>
        <w:rPr>
          <w:rFonts w:hint="eastAsia" w:ascii="宋体" w:hAnsi="宋体" w:eastAsia="宋体" w:cs="宋体"/>
          <w:sz w:val="24"/>
          <w:szCs w:val="24"/>
          <w:u w:val="single"/>
        </w:rPr>
        <w:t>　　年　　月　　日</w:t>
      </w:r>
      <w:r>
        <w:rPr>
          <w:rFonts w:hint="eastAsia" w:ascii="宋体" w:hAnsi="宋体" w:eastAsia="宋体" w:cs="宋体"/>
          <w:sz w:val="24"/>
          <w:szCs w:val="24"/>
        </w:rPr>
        <w:t>我方缴纳的社会保险凭据（限：税务机关/社会保障资金管理机关的专用收据或社会保险缴纳清单，或社会保险的银行缴款收讫凭证）复印件，上述证明材料真实有效，否则我方负全部责任。</w:t>
      </w:r>
    </w:p>
    <w:p w14:paraId="4F50D2B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）非法人（包括其他组织、自然人）的</w:t>
      </w:r>
    </w:p>
    <w:p w14:paraId="609B855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自</w:t>
      </w:r>
      <w:r>
        <w:rPr>
          <w:rFonts w:hint="eastAsia" w:ascii="宋体" w:hAnsi="宋体" w:eastAsia="宋体" w:cs="宋体"/>
          <w:sz w:val="24"/>
          <w:szCs w:val="24"/>
          <w:u w:val="single"/>
        </w:rPr>
        <w:t>　　年　　月　　日</w:t>
      </w:r>
      <w:r>
        <w:rPr>
          <w:rFonts w:hint="eastAsia" w:ascii="宋体" w:hAnsi="宋体" w:eastAsia="宋体" w:cs="宋体"/>
          <w:sz w:val="24"/>
          <w:szCs w:val="24"/>
        </w:rPr>
        <w:t>至</w:t>
      </w:r>
      <w:r>
        <w:rPr>
          <w:rFonts w:hint="eastAsia" w:ascii="宋体" w:hAnsi="宋体" w:eastAsia="宋体" w:cs="宋体"/>
          <w:sz w:val="24"/>
          <w:szCs w:val="24"/>
          <w:u w:val="single"/>
        </w:rPr>
        <w:t>　　年　　月　　日</w:t>
      </w:r>
      <w:r>
        <w:rPr>
          <w:rFonts w:hint="eastAsia" w:ascii="宋体" w:hAnsi="宋体" w:eastAsia="宋体" w:cs="宋体"/>
          <w:sz w:val="24"/>
          <w:szCs w:val="24"/>
        </w:rPr>
        <w:t>我方缴纳的社会保险凭据（限：税务机关/社会保障资金管理机关的专用收据或社会保险缴纳清单，或社会保险的银行缴款收讫凭证）复印件，上述证明材料真实有效，否则我方负全部责任。</w:t>
      </w:r>
    </w:p>
    <w:p w14:paraId="5311DDB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2、依法不需要缴纳或暂缓缴纳社会保障资金的投标人</w:t>
      </w:r>
    </w:p>
    <w:p w14:paraId="6AC567B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）现附上我方依法不需要缴纳或暂缓缴纳社会保障资金证明材料复印件，上述证明材料真实有效，否则我方负全部责任。</w:t>
      </w:r>
    </w:p>
    <w:p w14:paraId="1661D1B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7111B84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1、请投标人按照实际情况编制填写，在相应的（）中打“√”，并按照本格式的要求提供相应证明材料的复印件。</w:t>
      </w:r>
    </w:p>
    <w:p w14:paraId="2FD9CEF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2、投标人提供的社会保障资金缴纳凭据复印件应符合下列规定：</w:t>
      </w:r>
    </w:p>
    <w:p w14:paraId="3F1C6B7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2.1投标截止时间前（不含投标截止时间的当月）已依法缴纳社会保障资金的投标人，提供投标截止时间前六个月（不含投标截止时间的当月）中任一月份的社会保障资金缴纳凭据复印件。</w:t>
      </w:r>
    </w:p>
    <w:p w14:paraId="45D698B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2.2投标截止时间的当月成立的投标人，视同满足本项资格条件要求。</w:t>
      </w:r>
    </w:p>
    <w:p w14:paraId="23D1017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3、若为依法不需要缴纳或暂缓缴纳社会保障资金的投标人，提供依法不需要缴纳或暂缓缴纳社会保障资金证明材料的，视同满足本项资格条件要求。</w:t>
      </w:r>
    </w:p>
    <w:p w14:paraId="6028B559">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458D7B86">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301907C4">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6BD7B639">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具备履行合同所必需设备和专业技术能力的声明函（若有）</w:t>
      </w:r>
    </w:p>
    <w:p w14:paraId="77EFEB7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5E02FF3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我方具备履行合同所必需的设备和专业技术能力，否则产生不利后果由我方承担责任。</w:t>
      </w:r>
    </w:p>
    <w:p w14:paraId="04366E4E">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特此声明。</w:t>
      </w:r>
    </w:p>
    <w:p w14:paraId="0844126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64A4424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1、招标文件未要求投标人提供“具备履行合同所必需的设备和专业技术能力专项证明材料”的，投标人应提供本声明函。</w:t>
      </w:r>
    </w:p>
    <w:p w14:paraId="5C83C48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2、招标文件要求投标人提供“具备履行合同所必需的设备和专业技术能力专项证明材料”的，投标人可不提供本声明函。</w:t>
      </w:r>
    </w:p>
    <w:p w14:paraId="6C3AA65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3、请投标人根据实际情况如实声明，否则视为提供虚假材料。</w:t>
      </w:r>
    </w:p>
    <w:p w14:paraId="5E4C5F30">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2A09318E">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4265ED89">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0A8D5FF4">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参加采购活动前三年内在经营活动中没有重大违法记录书面声明</w:t>
      </w:r>
    </w:p>
    <w:p w14:paraId="03A08B6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23241C2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参加采购活动前三年内，我方在经营活动中没有重大违法记录，即没有因违法经营受到刑事处罚或责令停产停业、吊销许可证或执照、较大数额罚款等行政处罚。否则产生不利后果由我方承担责任。</w:t>
      </w:r>
    </w:p>
    <w:p w14:paraId="5A1117A9">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特此声明。</w:t>
      </w:r>
    </w:p>
    <w:p w14:paraId="2300F6F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69DD8E1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p w14:paraId="5B5D3E3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请投标人根据实际情况如实声明，否则视为提供虚假材料。</w:t>
      </w:r>
    </w:p>
    <w:p w14:paraId="456A360F">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5304369F">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5B28AC7B">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2489D789">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二-3信用记录查询提示</w:t>
      </w:r>
    </w:p>
    <w:p w14:paraId="7695C1D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1、由资格审查小组通过网站查询并打印投标人的信用记录。</w:t>
      </w:r>
    </w:p>
    <w:p w14:paraId="4A4D0D7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p w14:paraId="0A96DFF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投标人应了解投标人自身的信用记录情况。当投标人受到200万以上罚款的行政处罚且该罚款不属较大数额罚款时，投标人应在电子投标文件中提供此项罚款不属于较大数额罚款的依据（如提供：相关法律制度的规定、行政执法机构对该罚款不属于较大数额罚款的认定或者其他有效依据）。</w:t>
      </w:r>
    </w:p>
    <w:p w14:paraId="298C91B5">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D74D92D">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二-4中小企业声明函</w:t>
      </w:r>
    </w:p>
    <w:p w14:paraId="7710C403">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（以资格条件落实中小企业扶持政策时适用，若有）</w:t>
      </w:r>
    </w:p>
    <w:p w14:paraId="24D1B14A">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中小企业声明函（货物）</w:t>
      </w:r>
    </w:p>
    <w:p w14:paraId="15FD3DC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本公司（联合体）郑重声明，根据《政府采购促进中小企业发展管理办法》（财库﹝2020﹞46 号）的规定，本公司（联合体）参加</w:t>
      </w:r>
      <w:r>
        <w:rPr>
          <w:rFonts w:hint="eastAsia" w:ascii="宋体" w:hAnsi="宋体" w:eastAsia="宋体" w:cs="宋体"/>
          <w:sz w:val="24"/>
          <w:szCs w:val="24"/>
          <w:u w:val="single"/>
        </w:rPr>
        <w:t>（单位名称）</w:t>
      </w:r>
      <w:r>
        <w:rPr>
          <w:rFonts w:hint="eastAsia" w:ascii="宋体" w:hAnsi="宋体" w:eastAsia="宋体" w:cs="宋体"/>
          <w:sz w:val="24"/>
          <w:szCs w:val="24"/>
        </w:rPr>
        <w:t>的</w:t>
      </w:r>
      <w:r>
        <w:rPr>
          <w:rFonts w:hint="eastAsia" w:ascii="宋体" w:hAnsi="宋体" w:eastAsia="宋体" w:cs="宋体"/>
          <w:sz w:val="24"/>
          <w:szCs w:val="24"/>
          <w:u w:val="single"/>
        </w:rPr>
        <w:t>（项目名称）</w:t>
      </w:r>
      <w:r>
        <w:rPr>
          <w:rFonts w:hint="eastAsia" w:ascii="宋体" w:hAnsi="宋体" w:eastAsia="宋体" w:cs="宋体"/>
          <w:sz w:val="24"/>
          <w:szCs w:val="24"/>
        </w:rPr>
        <w:t>采购活动，提供的货物全部由符合政策要求的中小企业制造。相关企业（含联合体中的中小企业、签订分包意向协议的中小企业）的具体情况如下：</w:t>
      </w:r>
    </w:p>
    <w:p w14:paraId="2B7EB47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u w:val="single"/>
        </w:rPr>
        <w:t xml:space="preserve"> （标的名称） </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行业；制造商为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万元¹，属于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4BAB3F0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u w:val="single"/>
        </w:rPr>
        <w:t xml:space="preserve"> （标的名称） </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行业；制造商为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420BD35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2634DEA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以上企业，不属于大企业的分支机构，不存在控股股东为大企业的情形，也不存在与大企业的负责人为同一人的情形。</w:t>
      </w:r>
    </w:p>
    <w:p w14:paraId="0B3FE6D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本企业对上述声明内容的真实性负责。如有虚假，将依法承担相应责任。</w:t>
      </w:r>
    </w:p>
    <w:p w14:paraId="107E3810">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01DEF9F7">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2F0718F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617B4B1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1、从业人员、营业收入、资产总额填报上一年度数据，无上一年度数据的新成立企业可不填报。</w:t>
      </w:r>
    </w:p>
    <w:p w14:paraId="6A755BF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266D509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0D002753">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29CD9CCD">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中小企业声明函（工程、服务）</w:t>
      </w:r>
    </w:p>
    <w:p w14:paraId="4946096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本公司（联合体）郑重声明，根据《政府采购促进中小企业发展管理办法》（财库﹝2020﹞46 号）的规定，本公司（联合体）参加</w:t>
      </w:r>
      <w:r>
        <w:rPr>
          <w:rFonts w:hint="eastAsia" w:ascii="宋体" w:hAnsi="宋体" w:eastAsia="宋体" w:cs="宋体"/>
          <w:sz w:val="24"/>
          <w:szCs w:val="24"/>
          <w:u w:val="single"/>
        </w:rPr>
        <w:t>（单位名称）</w:t>
      </w:r>
      <w:r>
        <w:rPr>
          <w:rFonts w:hint="eastAsia" w:ascii="宋体" w:hAnsi="宋体" w:eastAsia="宋体" w:cs="宋体"/>
          <w:sz w:val="24"/>
          <w:szCs w:val="24"/>
        </w:rPr>
        <w:t>的</w:t>
      </w:r>
      <w:r>
        <w:rPr>
          <w:rFonts w:hint="eastAsia" w:ascii="宋体" w:hAnsi="宋体" w:eastAsia="宋体" w:cs="宋体"/>
          <w:sz w:val="24"/>
          <w:szCs w:val="24"/>
          <w:u w:val="single"/>
        </w:rPr>
        <w:t>（项目名称）</w:t>
      </w:r>
      <w:r>
        <w:rPr>
          <w:rFonts w:hint="eastAsia" w:ascii="宋体" w:hAnsi="宋体" w:eastAsia="宋体" w:cs="宋体"/>
          <w:sz w:val="24"/>
          <w:szCs w:val="24"/>
        </w:rPr>
        <w:t>采购活动，工程的施工单位全部为符合政策要求的中小企业（或者：服务全部由符合政策要求的中小企业承接）。相关企业（含联合体中的中小企业、签订分包意向协议的中小企业）的具体情况如下：</w:t>
      </w:r>
    </w:p>
    <w:p w14:paraId="480559D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u w:val="single"/>
        </w:rPr>
        <w:t>（标的名称）</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；承建（承接）企业为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万元¹，属于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4B56B6E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u w:val="single"/>
        </w:rPr>
        <w:t>（标的名称）</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；承建（承接）企业为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3DEC872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799C61D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以上企业，不属于大企业的分支机构，不存在控股股东为大企业的情形，也不存在与大企业的负责人为同一人的情形。</w:t>
      </w:r>
    </w:p>
    <w:p w14:paraId="78C9161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本企业对上述声明内容的真实性负责。如有虚假，将依法承担相应责任。</w:t>
      </w:r>
    </w:p>
    <w:p w14:paraId="0CEE0179">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200E2A2A">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3403D54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317ED20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1、从业人员、营业收入、资产总额填报上一年度数据，无上一年度数据的新成立企业可不填报。</w:t>
      </w:r>
    </w:p>
    <w:p w14:paraId="1D1C56D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0133029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2F97F082">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75813EA0">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残疾人福利性单位声明函</w:t>
      </w:r>
    </w:p>
    <w:p w14:paraId="1120A8E7">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（以资格条件落实中小企业扶持政策时适用，若有）</w:t>
      </w:r>
    </w:p>
    <w:p w14:paraId="7905457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14:paraId="153D0F4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14:paraId="25EC490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）由本投标人承建的（填写“所投采购包、品目号”）工程</w:t>
      </w:r>
    </w:p>
    <w:p w14:paraId="53FA281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）由本投标人承接的（填写“所投采购包、品目号”）服务；</w:t>
      </w:r>
    </w:p>
    <w:p w14:paraId="4217325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本投标人对上述声明的真实性负责。如有虚假，将依法承担相应责任。</w:t>
      </w:r>
    </w:p>
    <w:p w14:paraId="2A52716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备注：</w:t>
      </w:r>
    </w:p>
    <w:p w14:paraId="3370E4D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1、请投标人按照实际情况编制填写本声明函，并在相应的（）中打“√”。</w:t>
      </w:r>
    </w:p>
    <w:p w14:paraId="44634B1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2、若《残疾人福利性单位声明函》内容不真实，视为提供虚假材料。</w:t>
      </w:r>
    </w:p>
    <w:p w14:paraId="6E7E7424">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56738A50">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737B028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附：</w:t>
      </w:r>
    </w:p>
    <w:p w14:paraId="0F8E0D19">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监狱企业证明材料</w:t>
      </w:r>
    </w:p>
    <w:p w14:paraId="0AD5FF8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投标人为监狱企业，提供本单位制造的货物（承接的服务），并在电子投标文件中提供省级以上监狱管理局、戒毒管理局（含新疆生产建设兵团）出具的属于监狱企业的证明文件。</w:t>
      </w:r>
    </w:p>
    <w:p w14:paraId="4893B79F">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48053FBA">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二-5联合体协议（若有）</w:t>
      </w:r>
    </w:p>
    <w:p w14:paraId="4ADCBD8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（采购人或采购代理机构）</w:t>
      </w:r>
    </w:p>
    <w:p w14:paraId="4E1EF91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兹有</w:t>
      </w:r>
      <w:r>
        <w:rPr>
          <w:rFonts w:hint="eastAsia" w:ascii="宋体" w:hAnsi="宋体" w:eastAsia="宋体" w:cs="宋体"/>
          <w:sz w:val="24"/>
          <w:szCs w:val="24"/>
          <w:u w:val="single"/>
        </w:rPr>
        <w:t>（填写“联合体中各方的全称”，各方的全称之间请用“、”分割）</w:t>
      </w:r>
      <w:r>
        <w:rPr>
          <w:rFonts w:hint="eastAsia" w:ascii="宋体" w:hAnsi="宋体" w:eastAsia="宋体" w:cs="宋体"/>
          <w:sz w:val="24"/>
          <w:szCs w:val="24"/>
        </w:rPr>
        <w:t>自愿组成联合体，共同参加</w:t>
      </w:r>
      <w:r>
        <w:rPr>
          <w:rFonts w:hint="eastAsia" w:ascii="宋体" w:hAnsi="宋体" w:eastAsia="宋体" w:cs="宋体"/>
          <w:sz w:val="24"/>
          <w:szCs w:val="24"/>
          <w:u w:val="single"/>
        </w:rPr>
        <w:t>（填写“项目名称”）</w:t>
      </w:r>
      <w:r>
        <w:rPr>
          <w:rFonts w:hint="eastAsia" w:ascii="宋体" w:hAnsi="宋体" w:eastAsia="宋体" w:cs="宋体"/>
          <w:sz w:val="24"/>
          <w:szCs w:val="24"/>
        </w:rPr>
        <w:t xml:space="preserve"> 项目（项目编号：</w:t>
      </w:r>
      <w:r>
        <w:rPr>
          <w:rFonts w:hint="eastAsia" w:ascii="宋体" w:hAnsi="宋体" w:eastAsia="宋体" w:cs="宋体"/>
          <w:sz w:val="24"/>
          <w:szCs w:val="24"/>
          <w:u w:val="single"/>
        </w:rPr>
        <w:t>　　　　　　</w:t>
      </w:r>
      <w:r>
        <w:rPr>
          <w:rFonts w:hint="eastAsia" w:ascii="宋体" w:hAnsi="宋体" w:eastAsia="宋体" w:cs="宋体"/>
          <w:sz w:val="24"/>
          <w:szCs w:val="24"/>
        </w:rPr>
        <w:t>）的投标。现就联合体参加本项目投标的有关事宜达成下列协议：</w:t>
      </w:r>
    </w:p>
    <w:p w14:paraId="7B266AD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一、联合体各方应承担的工作和义务具体如下：</w:t>
      </w:r>
    </w:p>
    <w:p w14:paraId="00870A7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1、牵头方（全称）：</w:t>
      </w:r>
      <w:r>
        <w:rPr>
          <w:rFonts w:hint="eastAsia" w:ascii="宋体" w:hAnsi="宋体" w:eastAsia="宋体" w:cs="宋体"/>
          <w:sz w:val="24"/>
          <w:szCs w:val="24"/>
          <w:u w:val="single"/>
        </w:rPr>
        <w:t xml:space="preserve">（填写“工作及义务的具体内容”） </w:t>
      </w:r>
      <w:r>
        <w:rPr>
          <w:rFonts w:hint="eastAsia" w:ascii="宋体" w:hAnsi="宋体" w:eastAsia="宋体" w:cs="宋体"/>
          <w:sz w:val="24"/>
          <w:szCs w:val="24"/>
        </w:rPr>
        <w:t>；</w:t>
      </w:r>
    </w:p>
    <w:p w14:paraId="7BBB797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2、成员方：</w:t>
      </w:r>
    </w:p>
    <w:p w14:paraId="3F38C8B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2.1（成员一的全称）：</w:t>
      </w:r>
      <w:r>
        <w:rPr>
          <w:rFonts w:hint="eastAsia" w:ascii="宋体" w:hAnsi="宋体" w:eastAsia="宋体" w:cs="宋体"/>
          <w:sz w:val="24"/>
          <w:szCs w:val="24"/>
          <w:u w:val="single"/>
        </w:rPr>
        <w:t>（填写“工作及义务的具体内容”）</w:t>
      </w:r>
      <w:r>
        <w:rPr>
          <w:rFonts w:hint="eastAsia" w:ascii="宋体" w:hAnsi="宋体" w:eastAsia="宋体" w:cs="宋体"/>
          <w:sz w:val="24"/>
          <w:szCs w:val="24"/>
        </w:rPr>
        <w:t xml:space="preserve"> ；</w:t>
      </w:r>
    </w:p>
    <w:p w14:paraId="242F396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70BDEB4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二、联合体各方的合同金额占比，具体如下：</w:t>
      </w:r>
    </w:p>
    <w:p w14:paraId="43F0485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1.牵头方（</w:t>
      </w:r>
      <w:r>
        <w:rPr>
          <w:rFonts w:hint="eastAsia" w:ascii="宋体" w:hAnsi="宋体" w:eastAsia="宋体" w:cs="宋体"/>
          <w:sz w:val="24"/>
          <w:szCs w:val="24"/>
          <w:u w:val="single"/>
        </w:rPr>
        <w:t xml:space="preserve"> 全称</w:t>
      </w:r>
      <w:r>
        <w:rPr>
          <w:rFonts w:hint="eastAsia" w:ascii="宋体" w:hAnsi="宋体" w:eastAsia="宋体" w:cs="宋体"/>
          <w:sz w:val="24"/>
          <w:szCs w:val="24"/>
        </w:rPr>
        <w:t xml:space="preserve"> ）的合同金额占合同总额的</w:t>
      </w:r>
      <w:r>
        <w:rPr>
          <w:rFonts w:hint="eastAsia" w:ascii="宋体" w:hAnsi="宋体" w:eastAsia="宋体" w:cs="宋体"/>
          <w:sz w:val="24"/>
          <w:szCs w:val="24"/>
          <w:u w:val="single"/>
        </w:rPr>
        <w:t>　　</w:t>
      </w:r>
      <w:r>
        <w:rPr>
          <w:rFonts w:hint="eastAsia" w:ascii="宋体" w:hAnsi="宋体" w:eastAsia="宋体" w:cs="宋体"/>
          <w:sz w:val="24"/>
          <w:szCs w:val="24"/>
        </w:rPr>
        <w:t>%；</w:t>
      </w:r>
    </w:p>
    <w:p w14:paraId="22FD334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2.成员方：</w:t>
      </w:r>
    </w:p>
    <w:p w14:paraId="3D23BC6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2.1（</w:t>
      </w:r>
      <w:r>
        <w:rPr>
          <w:rFonts w:hint="eastAsia" w:ascii="宋体" w:hAnsi="宋体" w:eastAsia="宋体" w:cs="宋体"/>
          <w:sz w:val="24"/>
          <w:szCs w:val="24"/>
          <w:u w:val="single"/>
        </w:rPr>
        <w:t xml:space="preserve"> 成员1的全称 </w:t>
      </w:r>
      <w:r>
        <w:rPr>
          <w:rFonts w:hint="eastAsia" w:ascii="宋体" w:hAnsi="宋体" w:eastAsia="宋体" w:cs="宋体"/>
          <w:sz w:val="24"/>
          <w:szCs w:val="24"/>
        </w:rPr>
        <w:t>）的合同金额占合同总额的</w:t>
      </w:r>
      <w:r>
        <w:rPr>
          <w:rFonts w:hint="eastAsia" w:ascii="宋体" w:hAnsi="宋体" w:eastAsia="宋体" w:cs="宋体"/>
          <w:sz w:val="24"/>
          <w:szCs w:val="24"/>
          <w:u w:val="single"/>
        </w:rPr>
        <w:t>　　</w:t>
      </w:r>
      <w:r>
        <w:rPr>
          <w:rFonts w:hint="eastAsia" w:ascii="宋体" w:hAnsi="宋体" w:eastAsia="宋体" w:cs="宋体"/>
          <w:sz w:val="24"/>
          <w:szCs w:val="24"/>
        </w:rPr>
        <w:t>%；</w:t>
      </w:r>
    </w:p>
    <w:p w14:paraId="27883F4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318F9AD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三、联合体各方约定：</w:t>
      </w:r>
    </w:p>
    <w:p w14:paraId="3A268EB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1、由</w:t>
      </w:r>
      <w:r>
        <w:rPr>
          <w:rFonts w:hint="eastAsia" w:ascii="宋体" w:hAnsi="宋体" w:eastAsia="宋体" w:cs="宋体"/>
          <w:sz w:val="24"/>
          <w:szCs w:val="24"/>
          <w:u w:val="single"/>
        </w:rPr>
        <w:t>（填写“牵头方的全称”）代表联合体办理参加本项目投标的有关事宜（包括但不限于：注册账号、派出投标人代表、提交电子投标文件及参加开标、谈判、澄清等），在此过程中，投标人代表签字的一切文件和处理结果，联合体均予以认可并对此承担责任。</w:t>
      </w:r>
    </w:p>
    <w:p w14:paraId="22B005F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2、联合体各方约定由</w:t>
      </w:r>
      <w:r>
        <w:rPr>
          <w:rFonts w:hint="eastAsia" w:ascii="宋体" w:hAnsi="宋体" w:eastAsia="宋体" w:cs="宋体"/>
          <w:sz w:val="24"/>
          <w:szCs w:val="24"/>
          <w:u w:val="single"/>
        </w:rPr>
        <w:t>（填写“牵头方的全称”）代表联合体办理投标保证金事宜。</w:t>
      </w:r>
    </w:p>
    <w:p w14:paraId="0782743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若本项目采用综合评分法，则联合体只能确定由其中一方的条件参与商务部分的评标。因此，联合体各方约定以（应填写“其中一方的全称”，如：联合体确定以成员一的条件参与商务部分的评标，则填写“成员一的全称”…；否则填写“无”）的条件参与商务部分的评标。</w:t>
      </w:r>
    </w:p>
    <w:p w14:paraId="6AE7EF4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四、若中标，牵头方将代表联合体与采购人就合同签订事宜进行协商；若协商一致，则联合体各方将共同与采购人签订政府采购合同，并就政府采购合同约定的事项对采购人承担连带责任。</w:t>
      </w:r>
    </w:p>
    <w:p w14:paraId="13C2820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五、本协议自签署之日起生效，政府采购合同履行完毕后自动失效。</w:t>
      </w:r>
    </w:p>
    <w:p w14:paraId="548A4CC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六、本协议一式</w:t>
      </w:r>
      <w:r>
        <w:rPr>
          <w:rFonts w:hint="eastAsia" w:ascii="宋体" w:hAnsi="宋体" w:eastAsia="宋体" w:cs="宋体"/>
          <w:sz w:val="24"/>
          <w:szCs w:val="24"/>
          <w:u w:val="single"/>
        </w:rPr>
        <w:t>（填写具体份数）</w:t>
      </w:r>
      <w:r>
        <w:rPr>
          <w:rFonts w:hint="eastAsia" w:ascii="宋体" w:hAnsi="宋体" w:eastAsia="宋体" w:cs="宋体"/>
          <w:sz w:val="24"/>
          <w:szCs w:val="24"/>
        </w:rPr>
        <w:t>份，联合体各方各执一份，电子投标文件中提交一份。</w:t>
      </w:r>
    </w:p>
    <w:p w14:paraId="2141B6F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（以下无正文）</w:t>
      </w:r>
    </w:p>
    <w:p w14:paraId="6DB279A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牵头方：</w:t>
      </w:r>
      <w:r>
        <w:rPr>
          <w:rFonts w:hint="eastAsia" w:ascii="宋体" w:hAnsi="宋体" w:eastAsia="宋体" w:cs="宋体"/>
          <w:sz w:val="24"/>
          <w:szCs w:val="24"/>
          <w:u w:val="single"/>
        </w:rPr>
        <w:t>（全称并加盖单位公章）</w:t>
      </w:r>
    </w:p>
    <w:p w14:paraId="1C38A22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法定代表人或其委托代理人：</w:t>
      </w:r>
      <w:r>
        <w:rPr>
          <w:rFonts w:hint="eastAsia" w:ascii="宋体" w:hAnsi="宋体" w:eastAsia="宋体" w:cs="宋体"/>
          <w:sz w:val="24"/>
          <w:szCs w:val="24"/>
          <w:u w:val="single"/>
        </w:rPr>
        <w:t xml:space="preserve"> （签字或盖章）</w:t>
      </w:r>
    </w:p>
    <w:p w14:paraId="5ED1957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成员一：</w:t>
      </w:r>
      <w:r>
        <w:rPr>
          <w:rFonts w:hint="eastAsia" w:ascii="宋体" w:hAnsi="宋体" w:eastAsia="宋体" w:cs="宋体"/>
          <w:sz w:val="24"/>
          <w:szCs w:val="24"/>
          <w:u w:val="single"/>
        </w:rPr>
        <w:t>（全称并加盖成员一的单位公章）</w:t>
      </w:r>
    </w:p>
    <w:p w14:paraId="493BB63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法定代表人或其委托代理人：</w:t>
      </w:r>
      <w:r>
        <w:rPr>
          <w:rFonts w:hint="eastAsia" w:ascii="宋体" w:hAnsi="宋体" w:eastAsia="宋体" w:cs="宋体"/>
          <w:sz w:val="24"/>
          <w:szCs w:val="24"/>
          <w:u w:val="single"/>
        </w:rPr>
        <w:t xml:space="preserve"> （签字或盖章）</w:t>
      </w:r>
    </w:p>
    <w:p w14:paraId="6B1A420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54E9192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成员**：</w:t>
      </w:r>
      <w:r>
        <w:rPr>
          <w:rFonts w:hint="eastAsia" w:ascii="宋体" w:hAnsi="宋体" w:eastAsia="宋体" w:cs="宋体"/>
          <w:sz w:val="24"/>
          <w:szCs w:val="24"/>
          <w:u w:val="single"/>
        </w:rPr>
        <w:t>（全称并加盖成员**的单位公章）</w:t>
      </w:r>
    </w:p>
    <w:p w14:paraId="397DB39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法定代表人或其委托代理人：</w:t>
      </w:r>
      <w:r>
        <w:rPr>
          <w:rFonts w:hint="eastAsia" w:ascii="宋体" w:hAnsi="宋体" w:eastAsia="宋体" w:cs="宋体"/>
          <w:sz w:val="24"/>
          <w:szCs w:val="24"/>
          <w:u w:val="single"/>
        </w:rPr>
        <w:t xml:space="preserve"> （签字或盖章）</w:t>
      </w:r>
    </w:p>
    <w:p w14:paraId="217B2C0E">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签署日期：</w:t>
      </w:r>
      <w:r>
        <w:rPr>
          <w:rFonts w:hint="eastAsia" w:ascii="宋体" w:hAnsi="宋体" w:eastAsia="宋体" w:cs="宋体"/>
          <w:sz w:val="24"/>
          <w:szCs w:val="24"/>
          <w:u w:val="single"/>
        </w:rPr>
        <w:t>　　年　　月　　日</w:t>
      </w:r>
    </w:p>
    <w:p w14:paraId="5A908CF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4C81695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1、招标文件接受联合体投标且投标人为联合体的，投标人应提供本协议；否则无须提供。</w:t>
      </w:r>
    </w:p>
    <w:p w14:paraId="338AA8B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2、本协议由委托代理人签字或盖章的，应按照本章载明的格式提供“单位授权书”。</w:t>
      </w:r>
    </w:p>
    <w:p w14:paraId="29009E6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3、在以联合体形式落实中小企业预留份额项目中，投标人除了要提供《中小企业声明函》，还需提供本协议。</w:t>
      </w:r>
    </w:p>
    <w:p w14:paraId="21BA1197">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63E3AEE0">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二-6分包意向协议（若有）</w:t>
      </w:r>
    </w:p>
    <w:p w14:paraId="15E697D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甲方（总包方）：</w:t>
      </w:r>
      <w:r>
        <w:rPr>
          <w:rFonts w:hint="eastAsia" w:ascii="宋体" w:hAnsi="宋体" w:eastAsia="宋体" w:cs="宋体"/>
          <w:sz w:val="24"/>
          <w:szCs w:val="24"/>
          <w:u w:val="single"/>
        </w:rPr>
        <w:t>　　　　　　　</w:t>
      </w:r>
      <w:r>
        <w:rPr>
          <w:rFonts w:hint="eastAsia" w:ascii="宋体" w:hAnsi="宋体" w:eastAsia="宋体" w:cs="宋体"/>
          <w:sz w:val="24"/>
          <w:szCs w:val="24"/>
        </w:rPr>
        <w:t>（即本项目的投标人）</w:t>
      </w:r>
    </w:p>
    <w:p w14:paraId="192F228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乙方（分包方）：</w:t>
      </w:r>
      <w:r>
        <w:rPr>
          <w:rFonts w:hint="eastAsia" w:ascii="宋体" w:hAnsi="宋体" w:eastAsia="宋体" w:cs="宋体"/>
          <w:sz w:val="24"/>
          <w:szCs w:val="24"/>
          <w:u w:val="single"/>
        </w:rPr>
        <w:t>　　　　　　　</w:t>
      </w:r>
    </w:p>
    <w:p w14:paraId="2902ED4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兹有甲方参加</w:t>
      </w:r>
      <w:r>
        <w:rPr>
          <w:rFonts w:hint="eastAsia" w:ascii="宋体" w:hAnsi="宋体" w:eastAsia="宋体" w:cs="宋体"/>
          <w:sz w:val="24"/>
          <w:szCs w:val="24"/>
          <w:u w:val="single"/>
        </w:rPr>
        <w:t>（填写“项目名称”）</w:t>
      </w:r>
      <w:r>
        <w:rPr>
          <w:rFonts w:hint="eastAsia" w:ascii="宋体" w:hAnsi="宋体" w:eastAsia="宋体" w:cs="宋体"/>
          <w:sz w:val="24"/>
          <w:szCs w:val="24"/>
        </w:rPr>
        <w:t xml:space="preserve"> 项目（项目编号：</w:t>
      </w:r>
      <w:r>
        <w:rPr>
          <w:rFonts w:hint="eastAsia" w:ascii="宋体" w:hAnsi="宋体" w:eastAsia="宋体" w:cs="宋体"/>
          <w:sz w:val="24"/>
          <w:szCs w:val="24"/>
          <w:u w:val="single"/>
        </w:rPr>
        <w:t>　　　　　　　</w:t>
      </w:r>
      <w:r>
        <w:rPr>
          <w:rFonts w:hint="eastAsia" w:ascii="宋体" w:hAnsi="宋体" w:eastAsia="宋体" w:cs="宋体"/>
          <w:sz w:val="24"/>
          <w:szCs w:val="24"/>
        </w:rPr>
        <w:t>）的政府采购活动。甲方期望将采购项目的部分采购标的分包给乙方完成，而乙方保证能够向甲方提供本协议项下的采购标的，甲、乙双方就合同分包的有关事宜达成下列协议：</w:t>
      </w:r>
    </w:p>
    <w:p w14:paraId="24CB39B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一、分包标的</w:t>
      </w:r>
    </w:p>
    <w:p w14:paraId="22F5433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u w:val="single"/>
        </w:rPr>
        <w:t>（根据双方的意向填写，可以是表格或文字描述）。</w:t>
      </w:r>
    </w:p>
    <w:p w14:paraId="340BF88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二、分包合同金额占比</w:t>
      </w:r>
    </w:p>
    <w:p w14:paraId="4479D7B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分包合同价占投标总价的比例：</w:t>
      </w:r>
      <w:r>
        <w:rPr>
          <w:rFonts w:hint="eastAsia" w:ascii="宋体" w:hAnsi="宋体" w:eastAsia="宋体" w:cs="宋体"/>
          <w:sz w:val="24"/>
          <w:szCs w:val="24"/>
          <w:u w:val="single"/>
        </w:rPr>
        <w:t>　　　　　</w:t>
      </w:r>
      <w:r>
        <w:rPr>
          <w:rFonts w:hint="eastAsia" w:ascii="宋体" w:hAnsi="宋体" w:eastAsia="宋体" w:cs="宋体"/>
          <w:sz w:val="24"/>
          <w:szCs w:val="24"/>
        </w:rPr>
        <w:t>%</w:t>
      </w:r>
    </w:p>
    <w:p w14:paraId="17DC4BB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三、其他条款</w:t>
      </w:r>
    </w:p>
    <w:p w14:paraId="7BA3BC0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分包合同标的交付时间、地点和条件，质量要求和标准，验收，款项的支付，履约担保，违约责任，质量保证，知识产权，合同纠纷处理方式，不可抗力等条款待甲方中标（成交）后，根据甲方与采购人签订的总包合同确定具体的内容。</w:t>
      </w: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6D819F9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28FE799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甲方：</w:t>
            </w:r>
          </w:p>
        </w:tc>
        <w:tc>
          <w:tcPr>
            <w:tcW w:w="4153" w:type="dxa"/>
          </w:tcPr>
          <w:p w14:paraId="3F17E80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乙方：</w:t>
            </w:r>
          </w:p>
        </w:tc>
      </w:tr>
      <w:tr w14:paraId="595347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3AB631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住所：</w:t>
            </w:r>
          </w:p>
        </w:tc>
        <w:tc>
          <w:tcPr>
            <w:tcW w:w="4153" w:type="dxa"/>
          </w:tcPr>
          <w:p w14:paraId="7562710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住所：</w:t>
            </w:r>
          </w:p>
        </w:tc>
      </w:tr>
      <w:tr w14:paraId="1F1C7B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5787FEB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单位负责人或委托代理人：</w:t>
            </w:r>
          </w:p>
        </w:tc>
        <w:tc>
          <w:tcPr>
            <w:tcW w:w="4153" w:type="dxa"/>
          </w:tcPr>
          <w:p w14:paraId="25E1E65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单位负责人或委托代理人：</w:t>
            </w:r>
          </w:p>
        </w:tc>
      </w:tr>
      <w:tr w14:paraId="2E4BF3F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3A74BE7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联系方法：</w:t>
            </w:r>
          </w:p>
        </w:tc>
        <w:tc>
          <w:tcPr>
            <w:tcW w:w="4153" w:type="dxa"/>
          </w:tcPr>
          <w:p w14:paraId="451450B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联系方法：</w:t>
            </w:r>
          </w:p>
        </w:tc>
      </w:tr>
      <w:tr w14:paraId="3C3E51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09E084A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开户银行：</w:t>
            </w:r>
          </w:p>
        </w:tc>
        <w:tc>
          <w:tcPr>
            <w:tcW w:w="4153" w:type="dxa"/>
          </w:tcPr>
          <w:p w14:paraId="4583837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开户银行：</w:t>
            </w:r>
          </w:p>
        </w:tc>
      </w:tr>
      <w:tr w14:paraId="23DAF1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34A7D27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账号：</w:t>
            </w:r>
          </w:p>
        </w:tc>
        <w:tc>
          <w:tcPr>
            <w:tcW w:w="4153" w:type="dxa"/>
          </w:tcPr>
          <w:p w14:paraId="3DFD33C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账号：</w:t>
            </w:r>
          </w:p>
        </w:tc>
      </w:tr>
      <w:tr w14:paraId="0F9DFC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tcPr>
          <w:p w14:paraId="0E2CAB96">
            <w:pPr>
              <w:pStyle w:val="11"/>
              <w:keepNext w:val="0"/>
              <w:keepLines w:val="0"/>
              <w:pageBreakBefore w:val="0"/>
              <w:kinsoku/>
              <w:wordWrap/>
              <w:overflowPunct/>
              <w:topLinePunct w:val="0"/>
              <w:autoSpaceDE/>
              <w:autoSpaceDN/>
              <w:bidi w:val="0"/>
              <w:adjustRightInd/>
              <w:snapToGrid/>
              <w:spacing w:line="360" w:lineRule="auto"/>
              <w:ind w:firstLine="960"/>
              <w:jc w:val="right"/>
              <w:textAlignment w:val="auto"/>
              <w:rPr>
                <w:rFonts w:hint="eastAsia" w:ascii="宋体" w:hAnsi="宋体" w:eastAsia="宋体" w:cs="宋体"/>
                <w:sz w:val="24"/>
                <w:szCs w:val="24"/>
              </w:rPr>
            </w:pPr>
            <w:r>
              <w:rPr>
                <w:rFonts w:hint="eastAsia" w:ascii="宋体" w:hAnsi="宋体" w:eastAsia="宋体" w:cs="宋体"/>
                <w:sz w:val="24"/>
                <w:szCs w:val="24"/>
              </w:rPr>
              <w:t>签订地点：</w:t>
            </w:r>
            <w:r>
              <w:rPr>
                <w:rFonts w:hint="eastAsia" w:ascii="宋体" w:hAnsi="宋体" w:eastAsia="宋体" w:cs="宋体"/>
                <w:sz w:val="24"/>
                <w:szCs w:val="24"/>
                <w:u w:val="single"/>
              </w:rPr>
              <w:t>　　　　　　　　　　</w:t>
            </w:r>
          </w:p>
          <w:p w14:paraId="234B3992">
            <w:pPr>
              <w:pStyle w:val="11"/>
              <w:keepNext w:val="0"/>
              <w:keepLines w:val="0"/>
              <w:pageBreakBefore w:val="0"/>
              <w:kinsoku/>
              <w:wordWrap/>
              <w:overflowPunct/>
              <w:topLinePunct w:val="0"/>
              <w:autoSpaceDE/>
              <w:autoSpaceDN/>
              <w:bidi w:val="0"/>
              <w:adjustRightInd/>
              <w:snapToGrid/>
              <w:spacing w:line="360" w:lineRule="auto"/>
              <w:ind w:firstLine="960"/>
              <w:jc w:val="right"/>
              <w:textAlignment w:val="auto"/>
              <w:rPr>
                <w:rFonts w:hint="eastAsia" w:ascii="宋体" w:hAnsi="宋体" w:eastAsia="宋体" w:cs="宋体"/>
                <w:sz w:val="24"/>
                <w:szCs w:val="24"/>
              </w:rPr>
            </w:pPr>
            <w:r>
              <w:rPr>
                <w:rFonts w:hint="eastAsia" w:ascii="宋体" w:hAnsi="宋体" w:eastAsia="宋体" w:cs="宋体"/>
                <w:sz w:val="24"/>
                <w:szCs w:val="24"/>
              </w:rPr>
              <w:t>签约日期：</w:t>
            </w:r>
            <w:r>
              <w:rPr>
                <w:rFonts w:hint="eastAsia" w:ascii="宋体" w:hAnsi="宋体" w:eastAsia="宋体" w:cs="宋体"/>
                <w:sz w:val="24"/>
                <w:szCs w:val="24"/>
                <w:u w:val="single"/>
              </w:rPr>
              <w:t>　　年　　月　　日</w:t>
            </w:r>
          </w:p>
        </w:tc>
      </w:tr>
    </w:tbl>
    <w:p w14:paraId="5B01080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48F1CA9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1.招标文件接受合同分包且投标人拟将合同分包的，应提供本协议；否则无须提供。</w:t>
      </w:r>
    </w:p>
    <w:p w14:paraId="5A1FDA2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2.本协议由委托代理人签字或盖章的，应按照本章载明的格式提供“单位授权书”。</w:t>
      </w:r>
    </w:p>
    <w:p w14:paraId="52D0591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3.在以合同分包形式落实中小企业预留份额项目中，投标人除了要提供《中小企业声明函》，还需提供本协议。</w:t>
      </w:r>
    </w:p>
    <w:p w14:paraId="2BE38135">
      <w:pPr>
        <w:pStyle w:val="11"/>
        <w:keepNext w:val="0"/>
        <w:keepLines w:val="0"/>
        <w:pageBreakBefore w:val="0"/>
        <w:kinsoku/>
        <w:wordWrap/>
        <w:overflowPunct/>
        <w:topLinePunct w:val="0"/>
        <w:autoSpaceDE/>
        <w:autoSpaceDN/>
        <w:bidi w:val="0"/>
        <w:adjustRightInd/>
        <w:snapToGrid/>
        <w:spacing w:line="360" w:lineRule="auto"/>
        <w:ind w:firstLine="96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9966EA9">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二-7其他资格证明文件（若有）</w:t>
      </w:r>
    </w:p>
    <w:p w14:paraId="2FF49DA4">
      <w:pPr>
        <w:pStyle w:val="11"/>
        <w:keepNext w:val="0"/>
        <w:keepLines w:val="0"/>
        <w:pageBreakBefore w:val="0"/>
        <w:kinsoku/>
        <w:wordWrap/>
        <w:overflowPunct/>
        <w:topLinePunct w:val="0"/>
        <w:autoSpaceDE/>
        <w:autoSpaceDN/>
        <w:bidi w:val="0"/>
        <w:adjustRightInd/>
        <w:snapToGrid/>
        <w:spacing w:line="360" w:lineRule="auto"/>
        <w:ind w:firstLine="960"/>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二-7-①招标文件规定的其他资格证明文件（若有）</w:t>
      </w:r>
    </w:p>
    <w:p w14:paraId="42972FE4">
      <w:pPr>
        <w:pStyle w:val="11"/>
        <w:keepNext w:val="0"/>
        <w:keepLines w:val="0"/>
        <w:pageBreakBefore w:val="0"/>
        <w:kinsoku/>
        <w:wordWrap/>
        <w:overflowPunct/>
        <w:topLinePunct w:val="0"/>
        <w:autoSpaceDE/>
        <w:autoSpaceDN/>
        <w:bidi w:val="0"/>
        <w:adjustRightInd/>
        <w:snapToGrid/>
        <w:spacing w:line="360" w:lineRule="auto"/>
        <w:ind w:firstLine="480"/>
        <w:jc w:val="center"/>
        <w:textAlignment w:val="auto"/>
        <w:rPr>
          <w:rFonts w:hint="eastAsia" w:ascii="宋体" w:hAnsi="宋体" w:eastAsia="宋体" w:cs="宋体"/>
          <w:sz w:val="24"/>
          <w:szCs w:val="24"/>
        </w:rPr>
      </w:pPr>
      <w:r>
        <w:rPr>
          <w:rFonts w:hint="eastAsia" w:ascii="宋体" w:hAnsi="宋体" w:eastAsia="宋体" w:cs="宋体"/>
          <w:sz w:val="24"/>
          <w:szCs w:val="24"/>
        </w:rPr>
        <w:t>编制说明</w:t>
      </w:r>
    </w:p>
    <w:p w14:paraId="2CE2D61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除招标文件另有规定外，招标文件要求提交的除前述资格证明文件外的其他资格证明文件（若有）加盖投标人的单位公章后应在此项下提交。</w:t>
      </w:r>
    </w:p>
    <w:p w14:paraId="3DA5CF2C">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63F3C4FB">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三、投标保证金</w:t>
      </w:r>
    </w:p>
    <w:p w14:paraId="0D04F8B1">
      <w:pPr>
        <w:pStyle w:val="11"/>
        <w:keepNext w:val="0"/>
        <w:keepLines w:val="0"/>
        <w:pageBreakBefore w:val="0"/>
        <w:kinsoku/>
        <w:wordWrap/>
        <w:overflowPunct/>
        <w:topLinePunct w:val="0"/>
        <w:autoSpaceDE/>
        <w:autoSpaceDN/>
        <w:bidi w:val="0"/>
        <w:adjustRightInd/>
        <w:snapToGrid/>
        <w:spacing w:line="360" w:lineRule="auto"/>
        <w:ind w:firstLine="480"/>
        <w:jc w:val="center"/>
        <w:textAlignment w:val="auto"/>
        <w:rPr>
          <w:rFonts w:hint="eastAsia" w:ascii="宋体" w:hAnsi="宋体" w:eastAsia="宋体" w:cs="宋体"/>
          <w:sz w:val="24"/>
          <w:szCs w:val="24"/>
        </w:rPr>
      </w:pPr>
      <w:r>
        <w:rPr>
          <w:rFonts w:hint="eastAsia" w:ascii="宋体" w:hAnsi="宋体" w:eastAsia="宋体" w:cs="宋体"/>
          <w:sz w:val="24"/>
          <w:szCs w:val="24"/>
        </w:rPr>
        <w:t>编制说明</w:t>
      </w:r>
    </w:p>
    <w:p w14:paraId="72BE022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1、在此项下提交的“投标保证金”材料可使用转账凭证复印件或从福建省政府采购网上公开信息系统中下载的有关原始页面的打印件。</w:t>
      </w:r>
    </w:p>
    <w:p w14:paraId="3334B00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2、投标保证金是否已提交的认定按照招标文件第三章规定执行。</w:t>
      </w:r>
    </w:p>
    <w:p w14:paraId="0E4210E6">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0C105160">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封面格式(报价部分)</w:t>
      </w:r>
    </w:p>
    <w:p w14:paraId="477E52A3">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24"/>
          <w:szCs w:val="24"/>
        </w:rPr>
      </w:pPr>
      <w:r>
        <w:rPr>
          <w:rFonts w:hint="eastAsia" w:ascii="宋体" w:hAnsi="宋体" w:eastAsia="宋体" w:cs="宋体"/>
          <w:b/>
          <w:sz w:val="24"/>
          <w:szCs w:val="24"/>
        </w:rPr>
        <w:t>福建省政府采购投标文件</w:t>
      </w:r>
    </w:p>
    <w:p w14:paraId="56DC7761">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24"/>
          <w:szCs w:val="24"/>
        </w:rPr>
      </w:pPr>
      <w:r>
        <w:rPr>
          <w:rFonts w:hint="eastAsia" w:ascii="宋体" w:hAnsi="宋体" w:eastAsia="宋体" w:cs="宋体"/>
          <w:b/>
          <w:sz w:val="24"/>
          <w:szCs w:val="24"/>
        </w:rPr>
        <w:t>（报价部分）</w:t>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4E619A6F">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24"/>
          <w:szCs w:val="24"/>
        </w:rPr>
        <w:t>（填写正本或副本）</w:t>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63CE928A">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（项目名称：（由投标人填写）</w:t>
      </w:r>
    </w:p>
    <w:p w14:paraId="3CC8E0F4">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（备案编号：（由投标人填写）</w:t>
      </w:r>
    </w:p>
    <w:p w14:paraId="104272AE">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（项目编号：（由投标人填写）</w:t>
      </w:r>
    </w:p>
    <w:p w14:paraId="140333C7">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（所投采购包：（由投标人填写）</w:t>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0DD64B3F">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投标人：（填写“全称”）</w:t>
      </w:r>
    </w:p>
    <w:p w14:paraId="5F450CBA">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（由投标人填写）年（由投标人填写）月</w:t>
      </w:r>
    </w:p>
    <w:p w14:paraId="3715BABC">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7FC2BA38">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索引</w:t>
      </w:r>
    </w:p>
    <w:p w14:paraId="3CB9DAF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一、开标（报价）一览表</w:t>
      </w:r>
    </w:p>
    <w:p w14:paraId="2C557D4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二、投标（响应）报价明细表</w:t>
      </w:r>
    </w:p>
    <w:p w14:paraId="643087C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三、招标文件规定的价格扣除证明材料（若有）</w:t>
      </w:r>
    </w:p>
    <w:p w14:paraId="09A58BE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470DC008">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0"/>
        <w:rPr>
          <w:rFonts w:hint="eastAsia" w:ascii="宋体" w:hAnsi="宋体" w:eastAsia="宋体" w:cs="宋体"/>
          <w:sz w:val="24"/>
          <w:szCs w:val="24"/>
        </w:rPr>
      </w:pPr>
      <w:r>
        <w:rPr>
          <w:rFonts w:hint="eastAsia" w:ascii="宋体" w:hAnsi="宋体" w:eastAsia="宋体" w:cs="宋体"/>
          <w:b/>
          <w:sz w:val="24"/>
          <w:szCs w:val="24"/>
        </w:rPr>
        <w:t>开标（报价）一览表</w:t>
      </w:r>
    </w:p>
    <w:p w14:paraId="3225F6ED">
      <w:pPr>
        <w:pStyle w:val="11"/>
        <w:keepNext w:val="0"/>
        <w:keepLines w:val="0"/>
        <w:pageBreakBefore w:val="0"/>
        <w:kinsoku/>
        <w:wordWrap/>
        <w:overflowPunct/>
        <w:topLinePunct w:val="0"/>
        <w:autoSpaceDE/>
        <w:autoSpaceDN/>
        <w:bidi w:val="0"/>
        <w:adjustRightInd/>
        <w:snapToGrid/>
        <w:spacing w:line="360" w:lineRule="auto"/>
        <w:ind w:right="1650"/>
        <w:jc w:val="left"/>
        <w:textAlignment w:val="auto"/>
        <w:rPr>
          <w:rFonts w:hint="eastAsia" w:ascii="宋体" w:hAnsi="宋体" w:eastAsia="宋体" w:cs="宋体"/>
          <w:sz w:val="24"/>
          <w:szCs w:val="24"/>
        </w:rPr>
      </w:pPr>
      <w:r>
        <w:rPr>
          <w:rFonts w:hint="eastAsia" w:ascii="宋体" w:hAnsi="宋体" w:eastAsia="宋体" w:cs="宋体"/>
          <w:sz w:val="24"/>
          <w:szCs w:val="24"/>
        </w:rPr>
        <w:t>项目编号：[350001]RWZB[GK]2025044</w:t>
      </w:r>
    </w:p>
    <w:p w14:paraId="1D7319C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项目名称：飞利浦彩超维保服务</w:t>
      </w:r>
    </w:p>
    <w:p w14:paraId="3EDC53C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采购包：1(飞利浦彩超维保服务)</w:t>
      </w:r>
    </w:p>
    <w:p w14:paraId="01B8E18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投标人（供应商）名称：</w:t>
      </w:r>
    </w:p>
    <w:p w14:paraId="74EA9C9A">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08D9AA4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4E079E2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序号</w:t>
            </w:r>
          </w:p>
        </w:tc>
        <w:tc>
          <w:tcPr>
            <w:tcW w:w="1661" w:type="dxa"/>
          </w:tcPr>
          <w:p w14:paraId="3CE2AC1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报价内容</w:t>
            </w:r>
          </w:p>
        </w:tc>
        <w:tc>
          <w:tcPr>
            <w:tcW w:w="1661" w:type="dxa"/>
          </w:tcPr>
          <w:p w14:paraId="058D03E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最高限价</w:t>
            </w:r>
          </w:p>
        </w:tc>
        <w:tc>
          <w:tcPr>
            <w:tcW w:w="1661" w:type="dxa"/>
          </w:tcPr>
          <w:p w14:paraId="214D6F1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响应报价</w:t>
            </w:r>
          </w:p>
        </w:tc>
        <w:tc>
          <w:tcPr>
            <w:tcW w:w="1661" w:type="dxa"/>
          </w:tcPr>
          <w:p w14:paraId="7BE27B1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价款形式</w:t>
            </w:r>
          </w:p>
        </w:tc>
      </w:tr>
      <w:tr w14:paraId="60D6D13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5A38D39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1</w:t>
            </w:r>
          </w:p>
        </w:tc>
        <w:tc>
          <w:tcPr>
            <w:tcW w:w="1661" w:type="dxa"/>
          </w:tcPr>
          <w:p w14:paraId="70DC5E4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飞利浦彩超维保服务</w:t>
            </w:r>
          </w:p>
        </w:tc>
        <w:tc>
          <w:tcPr>
            <w:tcW w:w="1661" w:type="dxa"/>
          </w:tcPr>
          <w:p w14:paraId="1988BD5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580000  元</w:t>
            </w:r>
          </w:p>
        </w:tc>
        <w:tc>
          <w:tcPr>
            <w:tcW w:w="1661" w:type="dxa"/>
          </w:tcPr>
          <w:p w14:paraId="7DB9A30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「汇总引用」  元</w:t>
            </w:r>
          </w:p>
        </w:tc>
        <w:tc>
          <w:tcPr>
            <w:tcW w:w="1661" w:type="dxa"/>
          </w:tcPr>
          <w:p w14:paraId="42F1341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总价</w:t>
            </w:r>
          </w:p>
        </w:tc>
      </w:tr>
    </w:tbl>
    <w:p w14:paraId="4D4D005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备注：无</w:t>
      </w:r>
    </w:p>
    <w:p w14:paraId="12F5D7D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时间：     年     月     日</w:t>
      </w:r>
    </w:p>
    <w:p w14:paraId="6EB80F6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签章：                     </w:t>
      </w:r>
    </w:p>
    <w:p w14:paraId="62F1EC99">
      <w:pPr>
        <w:pStyle w:val="11"/>
        <w:keepNext w:val="0"/>
        <w:keepLines w:val="0"/>
        <w:pageBreakBefore w:val="0"/>
        <w:kinsoku/>
        <w:wordWrap/>
        <w:overflowPunct/>
        <w:topLinePunct w:val="0"/>
        <w:autoSpaceDE/>
        <w:autoSpaceDN/>
        <w:bidi w:val="0"/>
        <w:adjustRightInd/>
        <w:snapToGrid/>
        <w:spacing w:line="360" w:lineRule="auto"/>
        <w:jc w:val="left"/>
        <w:textAlignment w:val="auto"/>
        <w:outlineLvl w:val="0"/>
        <w:rPr>
          <w:rFonts w:hint="eastAsia" w:ascii="宋体" w:hAnsi="宋体" w:eastAsia="宋体" w:cs="宋体"/>
          <w:sz w:val="24"/>
          <w:szCs w:val="24"/>
        </w:rPr>
      </w:pPr>
      <w:r>
        <w:rPr>
          <w:rFonts w:hint="eastAsia" w:ascii="宋体" w:hAnsi="宋体" w:eastAsia="宋体" w:cs="宋体"/>
          <w:b/>
          <w:sz w:val="24"/>
          <w:szCs w:val="24"/>
        </w:rPr>
        <w:t>投标（响应）报价明细表</w:t>
      </w:r>
    </w:p>
    <w:p w14:paraId="4F3AE41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项目编号：[350001]RWZB[GK]2025044</w:t>
      </w:r>
    </w:p>
    <w:p w14:paraId="7AA8A3A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项目名称：飞利浦彩超维保服务</w:t>
      </w:r>
    </w:p>
    <w:p w14:paraId="0F655B6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采购包：飞利浦彩超维保服务</w:t>
      </w:r>
    </w:p>
    <w:p w14:paraId="49D4E6C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投标人名称：</w:t>
      </w:r>
    </w:p>
    <w:p w14:paraId="4A5AFB6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飞利浦彩超维保服务</w:t>
      </w:r>
    </w:p>
    <w:p w14:paraId="1054A085">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55"/>
        <w:gridCol w:w="755"/>
        <w:gridCol w:w="755"/>
        <w:gridCol w:w="755"/>
        <w:gridCol w:w="755"/>
        <w:gridCol w:w="755"/>
        <w:gridCol w:w="936"/>
        <w:gridCol w:w="755"/>
        <w:gridCol w:w="936"/>
        <w:gridCol w:w="755"/>
        <w:gridCol w:w="755"/>
      </w:tblGrid>
      <w:tr w14:paraId="6D1646C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14:paraId="2E62581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序号</w:t>
            </w:r>
          </w:p>
        </w:tc>
        <w:tc>
          <w:tcPr>
            <w:tcW w:w="755" w:type="dxa"/>
          </w:tcPr>
          <w:p w14:paraId="39E9CEA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服务名称</w:t>
            </w:r>
          </w:p>
        </w:tc>
        <w:tc>
          <w:tcPr>
            <w:tcW w:w="755" w:type="dxa"/>
          </w:tcPr>
          <w:p w14:paraId="35EF486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服务范围</w:t>
            </w:r>
          </w:p>
        </w:tc>
        <w:tc>
          <w:tcPr>
            <w:tcW w:w="755" w:type="dxa"/>
          </w:tcPr>
          <w:p w14:paraId="3BEF889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服务要求</w:t>
            </w:r>
          </w:p>
        </w:tc>
        <w:tc>
          <w:tcPr>
            <w:tcW w:w="755" w:type="dxa"/>
          </w:tcPr>
          <w:p w14:paraId="3224FA2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服务时间</w:t>
            </w:r>
          </w:p>
        </w:tc>
        <w:tc>
          <w:tcPr>
            <w:tcW w:w="755" w:type="dxa"/>
          </w:tcPr>
          <w:p w14:paraId="5E110B0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服务标准</w:t>
            </w:r>
          </w:p>
        </w:tc>
        <w:tc>
          <w:tcPr>
            <w:tcW w:w="755" w:type="dxa"/>
          </w:tcPr>
          <w:p w14:paraId="16098CB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最高限价</w:t>
            </w:r>
          </w:p>
        </w:tc>
        <w:tc>
          <w:tcPr>
            <w:tcW w:w="755" w:type="dxa"/>
          </w:tcPr>
          <w:p w14:paraId="5572E37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单价</w:t>
            </w:r>
          </w:p>
        </w:tc>
        <w:tc>
          <w:tcPr>
            <w:tcW w:w="755" w:type="dxa"/>
          </w:tcPr>
          <w:p w14:paraId="7C95DA2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数量</w:t>
            </w:r>
          </w:p>
        </w:tc>
        <w:tc>
          <w:tcPr>
            <w:tcW w:w="755" w:type="dxa"/>
          </w:tcPr>
          <w:p w14:paraId="091961C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计量单位</w:t>
            </w:r>
          </w:p>
        </w:tc>
        <w:tc>
          <w:tcPr>
            <w:tcW w:w="755" w:type="dxa"/>
          </w:tcPr>
          <w:p w14:paraId="0B13317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总价</w:t>
            </w:r>
          </w:p>
        </w:tc>
      </w:tr>
      <w:tr w14:paraId="49D5D9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14:paraId="6B7EE80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1</w:t>
            </w:r>
          </w:p>
        </w:tc>
        <w:tc>
          <w:tcPr>
            <w:tcW w:w="755" w:type="dxa"/>
          </w:tcPr>
          <w:p w14:paraId="5821CAE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飞利浦彩超维保服务</w:t>
            </w:r>
          </w:p>
        </w:tc>
        <w:tc>
          <w:tcPr>
            <w:tcW w:w="755" w:type="dxa"/>
          </w:tcPr>
          <w:p w14:paraId="3C8589A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{供应商响应}</w:t>
            </w:r>
          </w:p>
        </w:tc>
        <w:tc>
          <w:tcPr>
            <w:tcW w:w="755" w:type="dxa"/>
          </w:tcPr>
          <w:p w14:paraId="1D4DC21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{供应商响应}</w:t>
            </w:r>
          </w:p>
        </w:tc>
        <w:tc>
          <w:tcPr>
            <w:tcW w:w="755" w:type="dxa"/>
          </w:tcPr>
          <w:p w14:paraId="7BEC5FA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{供应商响应}</w:t>
            </w:r>
          </w:p>
        </w:tc>
        <w:tc>
          <w:tcPr>
            <w:tcW w:w="755" w:type="dxa"/>
          </w:tcPr>
          <w:p w14:paraId="65FEBDE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{供应商响应}</w:t>
            </w:r>
          </w:p>
        </w:tc>
        <w:tc>
          <w:tcPr>
            <w:tcW w:w="755" w:type="dxa"/>
          </w:tcPr>
          <w:p w14:paraId="157F6FA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580000  元</w:t>
            </w:r>
          </w:p>
        </w:tc>
        <w:tc>
          <w:tcPr>
            <w:tcW w:w="755" w:type="dxa"/>
          </w:tcPr>
          <w:p w14:paraId="1A1BBBE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{=总价/数量}  元</w:t>
            </w:r>
          </w:p>
        </w:tc>
        <w:tc>
          <w:tcPr>
            <w:tcW w:w="755" w:type="dxa"/>
          </w:tcPr>
          <w:p w14:paraId="41560A0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1.0000</w:t>
            </w:r>
          </w:p>
        </w:tc>
        <w:tc>
          <w:tcPr>
            <w:tcW w:w="755" w:type="dxa"/>
          </w:tcPr>
          <w:p w14:paraId="2758958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年</w:t>
            </w:r>
          </w:p>
        </w:tc>
        <w:tc>
          <w:tcPr>
            <w:tcW w:w="755" w:type="dxa"/>
          </w:tcPr>
          <w:p w14:paraId="4F80D9E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{供应商响应}  元</w:t>
            </w:r>
          </w:p>
        </w:tc>
      </w:tr>
    </w:tbl>
    <w:p w14:paraId="7B4E1C9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合计：</w:t>
      </w:r>
    </w:p>
    <w:p w14:paraId="3686481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备注：无</w:t>
      </w:r>
    </w:p>
    <w:p w14:paraId="2CCD275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时间：     年     月     日</w:t>
      </w:r>
    </w:p>
    <w:p w14:paraId="269395C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签章：                     </w:t>
      </w:r>
    </w:p>
    <w:p w14:paraId="2C887B07">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6205C3F9">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三、招标文件规定的价格扣除证明材料（若有）</w:t>
      </w:r>
    </w:p>
    <w:p w14:paraId="5FC3EA30">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三-1优先类节能产品、环境标志产品价格扣除证明材料（若有）</w:t>
      </w:r>
    </w:p>
    <w:p w14:paraId="7049E804">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三-1-①优先类节能产品、环境标志产品统计表（价格扣除适用，若有）</w:t>
      </w:r>
    </w:p>
    <w:p w14:paraId="74A912D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项目编号：</w:t>
      </w:r>
      <w:r>
        <w:rPr>
          <w:rFonts w:hint="eastAsia" w:ascii="宋体" w:hAnsi="宋体" w:eastAsia="宋体" w:cs="宋体"/>
          <w:sz w:val="24"/>
          <w:szCs w:val="24"/>
          <w:u w:val="single"/>
        </w:rPr>
        <w:t>　　　　　　　　</w:t>
      </w: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187"/>
        <w:gridCol w:w="1187"/>
        <w:gridCol w:w="1187"/>
        <w:gridCol w:w="3561"/>
      </w:tblGrid>
      <w:tr w14:paraId="3A68F4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789F614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7122" w:type="dxa"/>
            <w:gridSpan w:val="4"/>
          </w:tcPr>
          <w:p w14:paraId="294F6FF8">
            <w:pPr>
              <w:pStyle w:val="11"/>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本采购包内属于节能、环境标志产品情况</w:t>
            </w:r>
          </w:p>
        </w:tc>
      </w:tr>
      <w:tr w14:paraId="35678B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tcPr>
          <w:p w14:paraId="2D04C70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w:t>
            </w:r>
          </w:p>
        </w:tc>
        <w:tc>
          <w:tcPr>
            <w:tcW w:w="1187" w:type="dxa"/>
          </w:tcPr>
          <w:p w14:paraId="129D5CB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品目号</w:t>
            </w:r>
          </w:p>
        </w:tc>
        <w:tc>
          <w:tcPr>
            <w:tcW w:w="1187" w:type="dxa"/>
          </w:tcPr>
          <w:p w14:paraId="0838C97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产品名称</w:t>
            </w:r>
          </w:p>
        </w:tc>
        <w:tc>
          <w:tcPr>
            <w:tcW w:w="1187" w:type="dxa"/>
          </w:tcPr>
          <w:p w14:paraId="429686A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认证种类</w:t>
            </w:r>
          </w:p>
        </w:tc>
      </w:tr>
      <w:tr w14:paraId="40A917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vMerge w:val="restart"/>
          </w:tcPr>
          <w:p w14:paraId="018961B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187" w:type="dxa"/>
          </w:tcPr>
          <w:p w14:paraId="34B4553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187" w:type="dxa"/>
          </w:tcPr>
          <w:p w14:paraId="258DB16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27466DD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供应商自行填写种类，并上传证明附件以便评审查看</w:t>
            </w:r>
          </w:p>
        </w:tc>
      </w:tr>
      <w:tr w14:paraId="5DF1F8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vMerge w:val="continue"/>
          </w:tcPr>
          <w:p w14:paraId="1E57CF3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56D82F8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4E715EE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p>
        </w:tc>
        <w:tc>
          <w:tcPr>
            <w:tcW w:w="1187" w:type="dxa"/>
          </w:tcPr>
          <w:p w14:paraId="30C352E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33CD333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4EC9D0C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tcPr>
          <w:p w14:paraId="4E03F9B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备注</w:t>
            </w:r>
          </w:p>
        </w:tc>
        <w:tc>
          <w:tcPr>
            <w:tcW w:w="3561" w:type="dxa"/>
            <w:gridSpan w:val="3"/>
          </w:tcPr>
          <w:p w14:paraId="04F1F53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p>
        </w:tc>
      </w:tr>
    </w:tbl>
    <w:p w14:paraId="1A539AC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2305DE31">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1、对节能、环境标志产品计算价格扣除时，只依据电子投标（响应）文件“投标（响应）报价明细表”以及“优先类节能产品、环境标志产品证明材料（价格扣除适用，若有）。</w:t>
      </w:r>
    </w:p>
    <w:p w14:paraId="323361B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2、本表以采购包为单位，不同采购包请分别填写；同一采购包请按照其品目号顺序分别填写。</w:t>
      </w:r>
    </w:p>
    <w:p w14:paraId="55879BD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3、具体统计、计算：</w:t>
      </w:r>
    </w:p>
    <w:p w14:paraId="0BE30A7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3.1若同一采购包内的单个或多个货物取得或同时取得节能、环境标志产品等两项或多项认证的，均按照单个货物对应一项认证的原则统计、计算1次。</w:t>
      </w:r>
    </w:p>
    <w:p w14:paraId="545DC22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3.2计算结果若除不尽，可四舍五入保留到小数点后两位。</w:t>
      </w:r>
    </w:p>
    <w:p w14:paraId="0044FF3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3.3投标人(供应商)按照采购文件要求认真统计、计算。</w:t>
      </w:r>
    </w:p>
    <w:p w14:paraId="1B163B9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3.4若无节能、环境标志产品，不填写本表。</w:t>
      </w:r>
    </w:p>
    <w:p w14:paraId="58DB9A1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3.5强制类节能产品不享受价格扣除。</w:t>
      </w:r>
    </w:p>
    <w:p w14:paraId="76056032">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07AD962B">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7F49FC61">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62EDDF43">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三-1-②优先类节能产品、环境标志产品证明材料（价格扣除适用，若有）</w:t>
      </w:r>
    </w:p>
    <w:p w14:paraId="1F26A79B">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三-2小型、微型企业产品等价格扣除证明材料（若有）</w:t>
      </w:r>
    </w:p>
    <w:p w14:paraId="607C5450">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三-2-①中小企业声明函（价格扣除适用，若有）</w:t>
      </w:r>
    </w:p>
    <w:p w14:paraId="4A2E3F10">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中小企业声明函（货物）</w:t>
      </w:r>
    </w:p>
    <w:p w14:paraId="09E5A04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本公司（联合体）郑重声明，根据《政府采购促进中小企业发展管理办法》（财库﹝2020﹞46 号）的规定，本公司（联合体）参加</w:t>
      </w:r>
      <w:r>
        <w:rPr>
          <w:rFonts w:hint="eastAsia" w:ascii="宋体" w:hAnsi="宋体" w:eastAsia="宋体" w:cs="宋体"/>
          <w:sz w:val="24"/>
          <w:szCs w:val="24"/>
          <w:u w:val="single"/>
        </w:rPr>
        <w:t>（单位名称）</w:t>
      </w:r>
      <w:r>
        <w:rPr>
          <w:rFonts w:hint="eastAsia" w:ascii="宋体" w:hAnsi="宋体" w:eastAsia="宋体" w:cs="宋体"/>
          <w:sz w:val="24"/>
          <w:szCs w:val="24"/>
        </w:rPr>
        <w:t>的</w:t>
      </w:r>
      <w:r>
        <w:rPr>
          <w:rFonts w:hint="eastAsia" w:ascii="宋体" w:hAnsi="宋体" w:eastAsia="宋体" w:cs="宋体"/>
          <w:sz w:val="24"/>
          <w:szCs w:val="24"/>
          <w:u w:val="single"/>
        </w:rPr>
        <w:t>（项目名称）</w:t>
      </w:r>
      <w:r>
        <w:rPr>
          <w:rFonts w:hint="eastAsia" w:ascii="宋体" w:hAnsi="宋体" w:eastAsia="宋体" w:cs="宋体"/>
          <w:sz w:val="24"/>
          <w:szCs w:val="24"/>
        </w:rPr>
        <w:t>采购活动，提供的货物全部由符合政策要求的中小企业制造。相关企业（含联合体中的中小企业、签订分包意向协议的中小企业）的具体情况如下：</w:t>
      </w:r>
    </w:p>
    <w:p w14:paraId="0E8C328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u w:val="single"/>
        </w:rPr>
        <w:t xml:space="preserve"> （标的名称） </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行业；制造商为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w:t>
      </w:r>
      <w:r>
        <w:rPr>
          <w:rFonts w:hint="eastAsia" w:ascii="宋体" w:hAnsi="宋体" w:eastAsia="宋体" w:cs="宋体"/>
          <w:sz w:val="24"/>
          <w:szCs w:val="24"/>
          <w:vertAlign w:val="superscript"/>
        </w:rPr>
        <w:t>1</w:t>
      </w:r>
      <w:r>
        <w:rPr>
          <w:rFonts w:hint="eastAsia" w:ascii="宋体" w:hAnsi="宋体" w:eastAsia="宋体" w:cs="宋体"/>
          <w:sz w:val="24"/>
          <w:szCs w:val="24"/>
        </w:rPr>
        <w:t>，属于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034C782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u w:val="single"/>
        </w:rPr>
        <w:t xml:space="preserve"> （标的名称） </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行业；制造商为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1C976AE9">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6540AE8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以上企业，不属于大企业的分支机构，不存在控股股东为大企业的情形，也不存在与大企业的负责人为同一人的情形。</w:t>
      </w:r>
    </w:p>
    <w:p w14:paraId="02B18CF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本企业对上述声明内容的真实性负责。如有虚假，将依法承担相应责任。</w:t>
      </w:r>
    </w:p>
    <w:p w14:paraId="18C0FB8E">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1D7452DE">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3755055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4DC3859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1、从业人员、营业收入、资产总额填报上一年度数据，无上一年度数据的新成立企业可不填报。</w:t>
      </w:r>
    </w:p>
    <w:p w14:paraId="569E69D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096DAF9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347283B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049FF5EB">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中小企业声明函（工程、服务）</w:t>
      </w:r>
    </w:p>
    <w:p w14:paraId="1DA7A68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本公司（联合体）郑重声明，根据《政府采购促进中小企业发展管理办法》（财库﹝2020﹞46 号）的规定，本公司（联合体）参加</w:t>
      </w:r>
      <w:r>
        <w:rPr>
          <w:rFonts w:hint="eastAsia" w:ascii="宋体" w:hAnsi="宋体" w:eastAsia="宋体" w:cs="宋体"/>
          <w:sz w:val="24"/>
          <w:szCs w:val="24"/>
          <w:u w:val="single"/>
        </w:rPr>
        <w:t>（单位名称）</w:t>
      </w:r>
      <w:r>
        <w:rPr>
          <w:rFonts w:hint="eastAsia" w:ascii="宋体" w:hAnsi="宋体" w:eastAsia="宋体" w:cs="宋体"/>
          <w:sz w:val="24"/>
          <w:szCs w:val="24"/>
        </w:rPr>
        <w:t>的</w:t>
      </w:r>
      <w:r>
        <w:rPr>
          <w:rFonts w:hint="eastAsia" w:ascii="宋体" w:hAnsi="宋体" w:eastAsia="宋体" w:cs="宋体"/>
          <w:sz w:val="24"/>
          <w:szCs w:val="24"/>
          <w:u w:val="single"/>
        </w:rPr>
        <w:t>（项目名称）</w:t>
      </w:r>
      <w:r>
        <w:rPr>
          <w:rFonts w:hint="eastAsia" w:ascii="宋体" w:hAnsi="宋体" w:eastAsia="宋体" w:cs="宋体"/>
          <w:sz w:val="24"/>
          <w:szCs w:val="24"/>
        </w:rPr>
        <w:t>采购活动，工程的施工单位全部为符合政策要求的中小企业（或者：服务全部由符合政策要求的中小企业承接）。相关企业（含联合体中的中小企业、签订分包意向协议的中小企业）的具体情况如下：</w:t>
      </w:r>
    </w:p>
    <w:p w14:paraId="0463B7C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u w:val="single"/>
        </w:rPr>
        <w:t>（标的名称）</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；承建（承接）企业为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w:t>
      </w:r>
      <w:r>
        <w:rPr>
          <w:rFonts w:hint="eastAsia" w:ascii="宋体" w:hAnsi="宋体" w:eastAsia="宋体" w:cs="宋体"/>
          <w:sz w:val="24"/>
          <w:szCs w:val="24"/>
          <w:vertAlign w:val="superscript"/>
        </w:rPr>
        <w:t>1</w:t>
      </w:r>
      <w:r>
        <w:rPr>
          <w:rFonts w:hint="eastAsia" w:ascii="宋体" w:hAnsi="宋体" w:eastAsia="宋体" w:cs="宋体"/>
          <w:sz w:val="24"/>
          <w:szCs w:val="24"/>
        </w:rPr>
        <w:t>，属于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7219C39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u w:val="single"/>
        </w:rPr>
        <w:t>（标的名称）</w:t>
      </w:r>
      <w:r>
        <w:rPr>
          <w:rFonts w:hint="eastAsia" w:ascii="宋体" w:hAnsi="宋体" w:eastAsia="宋体" w:cs="宋体"/>
          <w:sz w:val="24"/>
          <w:szCs w:val="24"/>
        </w:rPr>
        <w:t>，属于</w:t>
      </w:r>
      <w:r>
        <w:rPr>
          <w:rFonts w:hint="eastAsia" w:ascii="宋体" w:hAnsi="宋体" w:eastAsia="宋体" w:cs="宋体"/>
          <w:sz w:val="24"/>
          <w:szCs w:val="24"/>
          <w:u w:val="single"/>
        </w:rPr>
        <w:t>（采购文件中明确的所属行业）</w:t>
      </w:r>
      <w:r>
        <w:rPr>
          <w:rFonts w:hint="eastAsia" w:ascii="宋体" w:hAnsi="宋体" w:eastAsia="宋体" w:cs="宋体"/>
          <w:sz w:val="24"/>
          <w:szCs w:val="24"/>
        </w:rPr>
        <w:t>；承建（承接）企业为</w:t>
      </w:r>
      <w:r>
        <w:rPr>
          <w:rFonts w:hint="eastAsia" w:ascii="宋体" w:hAnsi="宋体" w:eastAsia="宋体" w:cs="宋体"/>
          <w:sz w:val="24"/>
          <w:szCs w:val="24"/>
          <w:u w:val="single"/>
        </w:rPr>
        <w:t>（企业名称）</w:t>
      </w:r>
      <w:r>
        <w:rPr>
          <w:rFonts w:hint="eastAsia" w:ascii="宋体" w:hAnsi="宋体" w:eastAsia="宋体" w:cs="宋体"/>
          <w:sz w:val="24"/>
          <w:szCs w:val="24"/>
        </w:rPr>
        <w:t>，从业人员</w:t>
      </w:r>
      <w:r>
        <w:rPr>
          <w:rFonts w:hint="eastAsia" w:ascii="宋体" w:hAnsi="宋体" w:eastAsia="宋体" w:cs="宋体"/>
          <w:sz w:val="24"/>
          <w:szCs w:val="24"/>
          <w:u w:val="single"/>
        </w:rPr>
        <w:t>　　　　　</w:t>
      </w:r>
      <w:r>
        <w:rPr>
          <w:rFonts w:hint="eastAsia" w:ascii="宋体" w:hAnsi="宋体" w:eastAsia="宋体" w:cs="宋体"/>
          <w:sz w:val="24"/>
          <w:szCs w:val="24"/>
        </w:rPr>
        <w:t>人，营业收入为</w:t>
      </w:r>
      <w:r>
        <w:rPr>
          <w:rFonts w:hint="eastAsia" w:ascii="宋体" w:hAnsi="宋体" w:eastAsia="宋体" w:cs="宋体"/>
          <w:sz w:val="24"/>
          <w:szCs w:val="24"/>
          <w:u w:val="single"/>
        </w:rPr>
        <w:t>　　　　　</w:t>
      </w:r>
      <w:r>
        <w:rPr>
          <w:rFonts w:hint="eastAsia" w:ascii="宋体" w:hAnsi="宋体" w:eastAsia="宋体" w:cs="宋体"/>
          <w:sz w:val="24"/>
          <w:szCs w:val="24"/>
        </w:rPr>
        <w:t>万元，资产总额为</w:t>
      </w:r>
      <w:r>
        <w:rPr>
          <w:rFonts w:hint="eastAsia" w:ascii="宋体" w:hAnsi="宋体" w:eastAsia="宋体" w:cs="宋体"/>
          <w:sz w:val="24"/>
          <w:szCs w:val="24"/>
          <w:u w:val="single"/>
        </w:rPr>
        <w:t>　　　　　</w:t>
      </w:r>
      <w:r>
        <w:rPr>
          <w:rFonts w:hint="eastAsia" w:ascii="宋体" w:hAnsi="宋体" w:eastAsia="宋体" w:cs="宋体"/>
          <w:sz w:val="24"/>
          <w:szCs w:val="24"/>
        </w:rPr>
        <w:t>万元，属于</w:t>
      </w:r>
      <w:r>
        <w:rPr>
          <w:rFonts w:hint="eastAsia" w:ascii="宋体" w:hAnsi="宋体" w:eastAsia="宋体" w:cs="宋体"/>
          <w:sz w:val="24"/>
          <w:szCs w:val="24"/>
          <w:u w:val="single"/>
        </w:rPr>
        <w:t>（中型企业、小型企业、微型企业）</w:t>
      </w:r>
      <w:r>
        <w:rPr>
          <w:rFonts w:hint="eastAsia" w:ascii="宋体" w:hAnsi="宋体" w:eastAsia="宋体" w:cs="宋体"/>
          <w:sz w:val="24"/>
          <w:szCs w:val="24"/>
        </w:rPr>
        <w:t>；</w:t>
      </w:r>
    </w:p>
    <w:p w14:paraId="47367C3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w:t>
      </w:r>
    </w:p>
    <w:p w14:paraId="5FB4819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以上企业，不属于大企业的分支机构，不存在控股股东为大企业的情形，也不存在与大企业的负责人为同一人的情形。</w:t>
      </w:r>
    </w:p>
    <w:p w14:paraId="499E84B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本企业对上述声明内容的真实性负责。如有虚假，将依法承担相应责任。</w:t>
      </w:r>
    </w:p>
    <w:p w14:paraId="0A13C7AC">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15DF5F8D">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0AAE00F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0C72BB4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1、从业人员、营业收入、资产总额填报上一年度数据，无上一年度数据的新成立企业可不填报。</w:t>
      </w:r>
    </w:p>
    <w:p w14:paraId="5532C16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6DA2FFF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57429E7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439960F3">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三-2-②小型、微型企业等证明材料（价格扣除适用，若有）</w:t>
      </w:r>
    </w:p>
    <w:p w14:paraId="73DB79C6">
      <w:pPr>
        <w:pStyle w:val="11"/>
        <w:keepNext w:val="0"/>
        <w:keepLines w:val="0"/>
        <w:pageBreakBefore w:val="0"/>
        <w:kinsoku/>
        <w:wordWrap/>
        <w:overflowPunct/>
        <w:topLinePunct w:val="0"/>
        <w:autoSpaceDE/>
        <w:autoSpaceDN/>
        <w:bidi w:val="0"/>
        <w:adjustRightInd/>
        <w:snapToGrid/>
        <w:spacing w:line="360" w:lineRule="auto"/>
        <w:ind w:firstLine="480"/>
        <w:jc w:val="center"/>
        <w:textAlignment w:val="auto"/>
        <w:rPr>
          <w:rFonts w:hint="eastAsia" w:ascii="宋体" w:hAnsi="宋体" w:eastAsia="宋体" w:cs="宋体"/>
          <w:sz w:val="24"/>
          <w:szCs w:val="24"/>
        </w:rPr>
      </w:pPr>
      <w:r>
        <w:rPr>
          <w:rFonts w:hint="eastAsia" w:ascii="宋体" w:hAnsi="宋体" w:eastAsia="宋体" w:cs="宋体"/>
          <w:sz w:val="24"/>
          <w:szCs w:val="24"/>
        </w:rPr>
        <w:t>编制说明</w:t>
      </w:r>
    </w:p>
    <w:p w14:paraId="3714B0F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1、投标人为监狱企业的，根据其提供的由省级以上监狱管理局、戒毒管理局（含新疆生产建设兵团）出具的属于监狱企业的证明文件进行认定，监狱企业视同小型、微型企业。</w:t>
      </w:r>
    </w:p>
    <w:p w14:paraId="48DFA38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2、投标人为残疾人福利性单位的，根据其提供的《残疾人福利性单位声明函》（格式附后）进行认定，残疾人福利性单位视同小型、微型企业。残疾人福利性单位属于小型、微型企业的，不重复享受政策。</w:t>
      </w:r>
    </w:p>
    <w:p w14:paraId="0D7D5A2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附：</w:t>
      </w:r>
    </w:p>
    <w:p w14:paraId="514957D8">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残疾人福利性单位声明函（价格扣除适用，若有）</w:t>
      </w:r>
    </w:p>
    <w:p w14:paraId="6E135CF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14:paraId="2E6AE03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14:paraId="43A9A61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）由本投标人承建的（填写“所投采购包、品目号”）工程</w:t>
      </w:r>
    </w:p>
    <w:p w14:paraId="1F07523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 ）由本投标人承接的（填写“所投采购包、品目号”）服务；</w:t>
      </w:r>
    </w:p>
    <w:p w14:paraId="3E1F78D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本投标人对上述声明的真实性负责。如有虚假，将依法承担相应责任。</w:t>
      </w:r>
    </w:p>
    <w:p w14:paraId="4EBDB76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备注：</w:t>
      </w:r>
    </w:p>
    <w:p w14:paraId="3C792C2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1、请投标人按照实际情况编制填写本声明函，并在相应的（）中打“√”。</w:t>
      </w:r>
    </w:p>
    <w:p w14:paraId="62D295E5">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2、若《残疾人福利性单位声明函》内容不真实，视为提供虚假材料。</w:t>
      </w:r>
    </w:p>
    <w:p w14:paraId="16EA24C4">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4B8CA74F">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3C5D9E1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A7A7DE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附：</w:t>
      </w:r>
    </w:p>
    <w:p w14:paraId="31AF57C6">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监狱企业证明材料</w:t>
      </w:r>
    </w:p>
    <w:p w14:paraId="5BE8617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投标人为监狱企业，提供本单位制造的货物（承接的服务），并在电子投标文件中提供省级以上监狱管理局、戒毒管理局（含新疆生产建设兵团）出具的属于监狱企业的证明文件。</w:t>
      </w:r>
    </w:p>
    <w:p w14:paraId="34053BA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45F7B143">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3"/>
        <w:rPr>
          <w:rFonts w:hint="eastAsia" w:ascii="宋体" w:hAnsi="宋体" w:eastAsia="宋体" w:cs="宋体"/>
          <w:sz w:val="24"/>
          <w:szCs w:val="24"/>
        </w:rPr>
      </w:pPr>
      <w:r>
        <w:rPr>
          <w:rFonts w:hint="eastAsia" w:ascii="宋体" w:hAnsi="宋体" w:eastAsia="宋体" w:cs="宋体"/>
          <w:b/>
          <w:sz w:val="24"/>
          <w:szCs w:val="24"/>
        </w:rPr>
        <w:t>三-3招标文件规定的其他价格扣除证明材料（若有）</w:t>
      </w:r>
    </w:p>
    <w:p w14:paraId="258FC366">
      <w:pPr>
        <w:pStyle w:val="11"/>
        <w:keepNext w:val="0"/>
        <w:keepLines w:val="0"/>
        <w:pageBreakBefore w:val="0"/>
        <w:kinsoku/>
        <w:wordWrap/>
        <w:overflowPunct/>
        <w:topLinePunct w:val="0"/>
        <w:autoSpaceDE/>
        <w:autoSpaceDN/>
        <w:bidi w:val="0"/>
        <w:adjustRightInd/>
        <w:snapToGrid/>
        <w:spacing w:line="360" w:lineRule="auto"/>
        <w:ind w:firstLine="480"/>
        <w:jc w:val="center"/>
        <w:textAlignment w:val="auto"/>
        <w:rPr>
          <w:rFonts w:hint="eastAsia" w:ascii="宋体" w:hAnsi="宋体" w:eastAsia="宋体" w:cs="宋体"/>
          <w:sz w:val="24"/>
          <w:szCs w:val="24"/>
        </w:rPr>
      </w:pPr>
      <w:r>
        <w:rPr>
          <w:rFonts w:hint="eastAsia" w:ascii="宋体" w:hAnsi="宋体" w:eastAsia="宋体" w:cs="宋体"/>
          <w:sz w:val="24"/>
          <w:szCs w:val="24"/>
        </w:rPr>
        <w:t>编制说明</w:t>
      </w:r>
    </w:p>
    <w:p w14:paraId="291E17A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若投标人可享受招标文件规定的除“节能（非强制类）、环境标志产品价格扣除”及“小型、微型企业产品等价格扣除”外的其他价格扣除优惠，则投标人应按照招标文件要求提供相应证明材料。</w:t>
      </w:r>
    </w:p>
    <w:p w14:paraId="477699B1">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04B4E011">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封面格式(技术商务部分)</w:t>
      </w:r>
    </w:p>
    <w:p w14:paraId="3F4300C5">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24"/>
          <w:szCs w:val="24"/>
        </w:rPr>
      </w:pPr>
      <w:r>
        <w:rPr>
          <w:rFonts w:hint="eastAsia" w:ascii="宋体" w:hAnsi="宋体" w:eastAsia="宋体" w:cs="宋体"/>
          <w:b/>
          <w:sz w:val="24"/>
          <w:szCs w:val="24"/>
        </w:rPr>
        <w:t>福建省政府采购投标文件</w:t>
      </w:r>
    </w:p>
    <w:p w14:paraId="3C74F96D">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0"/>
        <w:rPr>
          <w:rFonts w:hint="eastAsia" w:ascii="宋体" w:hAnsi="宋体" w:eastAsia="宋体" w:cs="宋体"/>
          <w:sz w:val="24"/>
          <w:szCs w:val="24"/>
        </w:rPr>
      </w:pPr>
      <w:r>
        <w:rPr>
          <w:rFonts w:hint="eastAsia" w:ascii="宋体" w:hAnsi="宋体" w:eastAsia="宋体" w:cs="宋体"/>
          <w:b/>
          <w:sz w:val="24"/>
          <w:szCs w:val="24"/>
        </w:rPr>
        <w:t>（技术商务部分）</w:t>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131A433E">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sz w:val="24"/>
          <w:szCs w:val="24"/>
        </w:rPr>
      </w:pPr>
      <w:r>
        <w:rPr>
          <w:rFonts w:hint="eastAsia" w:ascii="宋体" w:hAnsi="宋体" w:eastAsia="宋体" w:cs="宋体"/>
          <w:b/>
          <w:sz w:val="24"/>
          <w:szCs w:val="24"/>
        </w:rPr>
        <w:t>（填写正本或副本）</w:t>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61A473D7">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（项目名称：（由投标人填写）</w:t>
      </w:r>
    </w:p>
    <w:p w14:paraId="2C0C1176">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（备案编号：（由投标人填写）</w:t>
      </w:r>
    </w:p>
    <w:p w14:paraId="63777C1F">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（项目编号：（由投标人填写）</w:t>
      </w:r>
    </w:p>
    <w:p w14:paraId="511CC922">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（所投采购包：（由投标人填写）</w:t>
      </w:r>
      <w:r>
        <w:rPr>
          <w:rFonts w:hint="eastAsia" w:ascii="宋体" w:hAnsi="宋体" w:eastAsia="宋体" w:cs="宋体"/>
          <w:sz w:val="24"/>
          <w:szCs w:val="24"/>
        </w:rPr>
        <w:br w:type="textWrapping"/>
      </w:r>
      <w:r>
        <w:rPr>
          <w:rFonts w:hint="eastAsia" w:ascii="宋体" w:hAnsi="宋体" w:eastAsia="宋体" w:cs="宋体"/>
          <w:sz w:val="24"/>
          <w:szCs w:val="24"/>
        </w:rPr>
        <w:br w:type="textWrapping"/>
      </w:r>
    </w:p>
    <w:p w14:paraId="65D63E7A">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投标人：（填写“全称”）</w:t>
      </w:r>
    </w:p>
    <w:p w14:paraId="0943DCC1">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（由投标人填写）年（由投标人填写）月</w:t>
      </w:r>
    </w:p>
    <w:p w14:paraId="7774AC4F">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6F01535E">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索引</w:t>
      </w:r>
    </w:p>
    <w:p w14:paraId="59386A8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一、标的说明一览表</w:t>
      </w:r>
    </w:p>
    <w:p w14:paraId="73400EC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二、技术和服务要求响应表</w:t>
      </w:r>
    </w:p>
    <w:p w14:paraId="6784BF6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三、商务条件响应表</w:t>
      </w:r>
    </w:p>
    <w:p w14:paraId="10DE3596">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四、投标人提交的其他资料（若有）</w:t>
      </w:r>
    </w:p>
    <w:p w14:paraId="7AB59F1D">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37FDEB5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技术商务部分中不得出现报价部分的全部或部分的投标报价信息（或组成资料），否则符合性审查不合格。</w:t>
      </w:r>
    </w:p>
    <w:p w14:paraId="6820F3A6">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0F63F268">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一、标的说明一览表</w:t>
      </w:r>
    </w:p>
    <w:p w14:paraId="7DD182CE">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项目编号：</w:t>
      </w:r>
      <w:r>
        <w:rPr>
          <w:rFonts w:hint="eastAsia" w:ascii="宋体" w:hAnsi="宋体" w:eastAsia="宋体" w:cs="宋体"/>
          <w:sz w:val="24"/>
          <w:szCs w:val="24"/>
          <w:u w:val="single"/>
        </w:rPr>
        <w:t>　　　　　　　　</w:t>
      </w: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187"/>
        <w:gridCol w:w="1187"/>
        <w:gridCol w:w="1187"/>
        <w:gridCol w:w="1187"/>
        <w:gridCol w:w="1187"/>
        <w:gridCol w:w="1187"/>
      </w:tblGrid>
      <w:tr w14:paraId="4E33816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247E3C98">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w:t>
            </w:r>
          </w:p>
        </w:tc>
        <w:tc>
          <w:tcPr>
            <w:tcW w:w="1187" w:type="dxa"/>
          </w:tcPr>
          <w:p w14:paraId="44D52A2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品目号</w:t>
            </w:r>
          </w:p>
        </w:tc>
        <w:tc>
          <w:tcPr>
            <w:tcW w:w="1187" w:type="dxa"/>
          </w:tcPr>
          <w:p w14:paraId="5375998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投标标的</w:t>
            </w:r>
          </w:p>
        </w:tc>
        <w:tc>
          <w:tcPr>
            <w:tcW w:w="1187" w:type="dxa"/>
          </w:tcPr>
          <w:p w14:paraId="10575D0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数量</w:t>
            </w:r>
          </w:p>
        </w:tc>
        <w:tc>
          <w:tcPr>
            <w:tcW w:w="1187" w:type="dxa"/>
          </w:tcPr>
          <w:p w14:paraId="2E0403F6">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规格</w:t>
            </w:r>
          </w:p>
        </w:tc>
        <w:tc>
          <w:tcPr>
            <w:tcW w:w="1187" w:type="dxa"/>
          </w:tcPr>
          <w:p w14:paraId="5F36931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来源地</w:t>
            </w:r>
          </w:p>
        </w:tc>
        <w:tc>
          <w:tcPr>
            <w:tcW w:w="1187" w:type="dxa"/>
          </w:tcPr>
          <w:p w14:paraId="0442FE4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备注</w:t>
            </w:r>
          </w:p>
        </w:tc>
      </w:tr>
      <w:tr w14:paraId="570E003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vMerge w:val="restart"/>
          </w:tcPr>
          <w:p w14:paraId="6B6B126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187" w:type="dxa"/>
          </w:tcPr>
          <w:p w14:paraId="1016BD9B">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187" w:type="dxa"/>
          </w:tcPr>
          <w:p w14:paraId="2D3CD3E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04D6025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211FECB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45C53D5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28D6FA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vMerge w:val="continue"/>
          </w:tcPr>
          <w:p w14:paraId="769531A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2CF96C5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187" w:type="dxa"/>
          </w:tcPr>
          <w:p w14:paraId="6381799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2CD8DDB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7FF08CF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4A903FC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5DB5E69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tcPr>
          <w:p w14:paraId="012453A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187" w:type="dxa"/>
          </w:tcPr>
          <w:p w14:paraId="027A85D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7799114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3C83277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351BFFD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87" w:type="dxa"/>
          </w:tcPr>
          <w:p w14:paraId="26D1BD6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bl>
    <w:p w14:paraId="0D52EB6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1F0F482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1、本表应按照下列规定填写：</w:t>
      </w:r>
    </w:p>
    <w:p w14:paraId="60D252D2">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1.1“采购包”、“品目号”、“投标标的”及“数量”应与招标文件《采购标的一览表》中的有关内容（“采购包”、“品目号”、“采购标的”及“数量”）保持一致。</w:t>
      </w:r>
    </w:p>
    <w:p w14:paraId="250422E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1.2“投标标的”为货物的：“规格”项下应填写货物制造厂商赋予的品牌（属于节能、环保清单产品的货物，填写的品牌名称应与清单载明的品牌名称保持一致）及具体型号。“来源地”应填写货物的原产地。“备注”项下应填写货物的详细性能说明及供货范围清单（若有），其中供货范围清单包括但不限于：组成货物的主要件和关键件的名称、数量、原产地，专用工具（若有）的名称、数量、原产地，备品备件（若有）的名称、数量、原产地等。</w:t>
      </w:r>
    </w:p>
    <w:p w14:paraId="27019D2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1.3“投标标的”为服务的：“规格”项下应填写服务提供者提供的服务标准及品牌（若有）。“来源地”应填写服务提供者的所在地。“备注”项下应填写关于服务标准所涵盖的具体项目或内容的说明等。</w:t>
      </w:r>
    </w:p>
    <w:p w14:paraId="32218E3B">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2、投标人需要说明的内容若需特殊表达，应先在本表中进行相应说明，再另页应答，但应做好标注说明，方便评委查阅评审。未标注说明可能导致的不利的评审后果由投标人自行承担。</w:t>
      </w:r>
    </w:p>
    <w:p w14:paraId="52C91CE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3、电子投标文件中涉及“投标标的”、“数量”、“规格”、“来源地”的内容若不一致，以投标客户端的投标（响应）报价明细表为准。</w:t>
      </w:r>
    </w:p>
    <w:p w14:paraId="3627FA19">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65B360B7">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1FDF29DA">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134A0764">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二、技术和服务要求响应表</w:t>
      </w:r>
    </w:p>
    <w:p w14:paraId="5AF9A03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项目编号：</w:t>
      </w:r>
      <w:r>
        <w:rPr>
          <w:rFonts w:hint="eastAsia" w:ascii="宋体" w:hAnsi="宋体" w:eastAsia="宋体" w:cs="宋体"/>
          <w:sz w:val="24"/>
          <w:szCs w:val="24"/>
          <w:u w:val="single"/>
        </w:rPr>
        <w:t>　　　　　　　　</w:t>
      </w: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308E61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1D2A472E">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w:t>
            </w:r>
          </w:p>
        </w:tc>
        <w:tc>
          <w:tcPr>
            <w:tcW w:w="1661" w:type="dxa"/>
          </w:tcPr>
          <w:p w14:paraId="438DED7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品目号</w:t>
            </w:r>
          </w:p>
        </w:tc>
        <w:tc>
          <w:tcPr>
            <w:tcW w:w="1661" w:type="dxa"/>
          </w:tcPr>
          <w:p w14:paraId="52F950B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技术和服务要求</w:t>
            </w:r>
          </w:p>
        </w:tc>
        <w:tc>
          <w:tcPr>
            <w:tcW w:w="1661" w:type="dxa"/>
          </w:tcPr>
          <w:p w14:paraId="458ED29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投标响应</w:t>
            </w:r>
          </w:p>
        </w:tc>
        <w:tc>
          <w:tcPr>
            <w:tcW w:w="1661" w:type="dxa"/>
          </w:tcPr>
          <w:p w14:paraId="775BF852">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是否偏离及说明</w:t>
            </w:r>
          </w:p>
        </w:tc>
      </w:tr>
      <w:tr w14:paraId="29FD1E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14:paraId="58127675">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661" w:type="dxa"/>
          </w:tcPr>
          <w:p w14:paraId="2475101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661" w:type="dxa"/>
          </w:tcPr>
          <w:p w14:paraId="4047268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61F425F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10722AF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7F2323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14:paraId="2135585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0DF085A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661" w:type="dxa"/>
          </w:tcPr>
          <w:p w14:paraId="7318307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4826695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2353B86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7D62E2E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166D0D2F">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661" w:type="dxa"/>
          </w:tcPr>
          <w:p w14:paraId="372F06A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2D47269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42211A1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3BA1C57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bl>
    <w:p w14:paraId="1BA3F19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2B9D0697">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1、本表应按照下列规定填写：</w:t>
      </w:r>
    </w:p>
    <w:p w14:paraId="6D4F4EE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1.1“技术和服务要求”项下填写的内容应与招标文件第五章“技术和服务要求”的内容保持一致。</w:t>
      </w:r>
    </w:p>
    <w:p w14:paraId="0D17023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1.2“投标响应”项下应填写具体的响应内容并与“技术和服务要求”项下填写的内容逐项对应；对招标文件“技术和服务要求”项下涉及“≥或＞”、“≤或＜”及某个区间值范围内的内容，投标响应应填写具体的数值，但技术指标只能以范围作响应的除外。</w:t>
      </w:r>
    </w:p>
    <w:p w14:paraId="4144E24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1.3“是否偏离及说明”项下应按下列规定填写：优于的，填写“正偏离”；符合的，填写“无偏离”；低于的，填写“负偏离”。</w:t>
      </w:r>
    </w:p>
    <w:p w14:paraId="7CFCDA38">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2、投标人需要说明的内容若需特殊表达，应先在本表中进行相应说明，再另页应答，但应做好标注说明，方便评委查阅评审。未标注说明可能导致的不利的评审后果由投标人自行承担。</w:t>
      </w:r>
    </w:p>
    <w:p w14:paraId="2FE7E5B7">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2F72F3DE">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6223DC6F">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598C3651">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三、商务条件响应表</w:t>
      </w:r>
    </w:p>
    <w:p w14:paraId="559D553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项目编号：</w:t>
      </w:r>
      <w:r>
        <w:rPr>
          <w:rFonts w:hint="eastAsia" w:ascii="宋体" w:hAnsi="宋体" w:eastAsia="宋体" w:cs="宋体"/>
          <w:sz w:val="24"/>
          <w:szCs w:val="24"/>
          <w:u w:val="single"/>
        </w:rPr>
        <w:t>　　　　　　　　</w:t>
      </w:r>
    </w:p>
    <w:tbl>
      <w:tblPr>
        <w:tblStyle w:val="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4B8674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01B131F9">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采购包</w:t>
            </w:r>
          </w:p>
        </w:tc>
        <w:tc>
          <w:tcPr>
            <w:tcW w:w="1661" w:type="dxa"/>
          </w:tcPr>
          <w:p w14:paraId="54D71BFA">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品目号</w:t>
            </w:r>
          </w:p>
        </w:tc>
        <w:tc>
          <w:tcPr>
            <w:tcW w:w="1661" w:type="dxa"/>
          </w:tcPr>
          <w:p w14:paraId="6382900D">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商务条件</w:t>
            </w:r>
          </w:p>
        </w:tc>
        <w:tc>
          <w:tcPr>
            <w:tcW w:w="1661" w:type="dxa"/>
          </w:tcPr>
          <w:p w14:paraId="6676775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投标响应</w:t>
            </w:r>
          </w:p>
        </w:tc>
        <w:tc>
          <w:tcPr>
            <w:tcW w:w="1661" w:type="dxa"/>
          </w:tcPr>
          <w:p w14:paraId="3EB32B84">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是否偏离及说明</w:t>
            </w:r>
          </w:p>
        </w:tc>
      </w:tr>
      <w:tr w14:paraId="70D2B2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14:paraId="693C95EC">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661" w:type="dxa"/>
          </w:tcPr>
          <w:p w14:paraId="7B410AC3">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661" w:type="dxa"/>
          </w:tcPr>
          <w:p w14:paraId="46517A4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44701B5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33F28DF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3D27DB8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14:paraId="7E129DB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6DE41CC0">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661" w:type="dxa"/>
          </w:tcPr>
          <w:p w14:paraId="4B48470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08E7EFC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3FAA787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1176775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6F8E0E47">
            <w:pPr>
              <w:pStyle w:val="11"/>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1661" w:type="dxa"/>
          </w:tcPr>
          <w:p w14:paraId="1789E70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58F245E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714DA58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661" w:type="dxa"/>
          </w:tcPr>
          <w:p w14:paraId="5A9C772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bl>
    <w:p w14:paraId="5C133B6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※注意：</w:t>
      </w:r>
    </w:p>
    <w:p w14:paraId="13BC098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1、本表应按照下列规定填写：</w:t>
      </w:r>
    </w:p>
    <w:p w14:paraId="27326ADF">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1.1“商务条件”项下填写的内容应与招标文件第五章“商务条件”的内容保持一致。</w:t>
      </w:r>
    </w:p>
    <w:p w14:paraId="22299C14">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1.2“投标响应”项下应填写具体的响应内容并与“商务条件”项下填写的内容逐项对应；对“商务条件”项下涉及“≥或＞”、“≤或＜”及某个区间值范围内的内容，应填写具体的数值。</w:t>
      </w:r>
    </w:p>
    <w:p w14:paraId="4D17499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1.3“是否偏离及说明”项下应按下列规定填写：优于的，填写“正偏离”；符合的，填写“无偏离”；低于的，填写“负偏离”。</w:t>
      </w:r>
    </w:p>
    <w:p w14:paraId="54E379E0">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2、投标人需要说明的内容若需特殊表达，应先在本表中进行相应说明，再另页应答，但应做好标注说明，方便评委查阅评审。未标注说明可能导致的不利的评审后果由投标人自行承担。</w:t>
      </w:r>
    </w:p>
    <w:p w14:paraId="6B11E62C">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ascii="宋体" w:hAnsi="宋体" w:eastAsia="宋体" w:cs="宋体"/>
          <w:sz w:val="24"/>
          <w:szCs w:val="24"/>
          <w:u w:val="single"/>
        </w:rPr>
        <w:t>（全称并加盖单位公章）</w:t>
      </w:r>
    </w:p>
    <w:p w14:paraId="55E0E465">
      <w:pPr>
        <w:pStyle w:val="11"/>
        <w:keepNext w:val="0"/>
        <w:keepLines w:val="0"/>
        <w:pageBreakBefore w:val="0"/>
        <w:kinsoku/>
        <w:wordWrap/>
        <w:overflowPunct/>
        <w:topLinePunct w:val="0"/>
        <w:autoSpaceDE/>
        <w:autoSpaceDN/>
        <w:bidi w:val="0"/>
        <w:adjustRightInd/>
        <w:snapToGrid/>
        <w:spacing w:line="360" w:lineRule="auto"/>
        <w:ind w:firstLine="480"/>
        <w:jc w:val="right"/>
        <w:textAlignment w:val="auto"/>
        <w:rPr>
          <w:rFonts w:hint="eastAsia" w:ascii="宋体" w:hAnsi="宋体" w:eastAsia="宋体" w:cs="宋体"/>
          <w:sz w:val="24"/>
          <w:szCs w:val="24"/>
        </w:rPr>
      </w:pPr>
      <w:r>
        <w:rPr>
          <w:rFonts w:hint="eastAsia" w:ascii="宋体" w:hAnsi="宋体" w:eastAsia="宋体" w:cs="宋体"/>
          <w:sz w:val="24"/>
          <w:szCs w:val="24"/>
        </w:rPr>
        <w:t>日期：</w:t>
      </w:r>
      <w:r>
        <w:rPr>
          <w:rFonts w:hint="eastAsia" w:ascii="宋体" w:hAnsi="宋体" w:eastAsia="宋体" w:cs="宋体"/>
          <w:sz w:val="24"/>
          <w:szCs w:val="24"/>
          <w:u w:val="single"/>
        </w:rPr>
        <w:t>　　年　　月　　日</w:t>
      </w:r>
    </w:p>
    <w:p w14:paraId="42330ADF">
      <w:pPr>
        <w:pStyle w:val="11"/>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br w:type="textWrapping"/>
      </w:r>
      <w:r>
        <w:rPr>
          <w:rFonts w:hint="eastAsia" w:ascii="宋体" w:hAnsi="宋体" w:eastAsia="宋体" w:cs="宋体"/>
          <w:sz w:val="24"/>
          <w:szCs w:val="24"/>
        </w:rPr>
        <w:br w:type="page"/>
      </w:r>
    </w:p>
    <w:p w14:paraId="34706929">
      <w:pPr>
        <w:pStyle w:val="11"/>
        <w:keepNext w:val="0"/>
        <w:keepLines w:val="0"/>
        <w:pageBreakBefore w:val="0"/>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sz w:val="24"/>
          <w:szCs w:val="24"/>
        </w:rPr>
      </w:pPr>
      <w:r>
        <w:rPr>
          <w:rFonts w:hint="eastAsia" w:ascii="宋体" w:hAnsi="宋体" w:eastAsia="宋体" w:cs="宋体"/>
          <w:b/>
          <w:sz w:val="24"/>
          <w:szCs w:val="24"/>
        </w:rPr>
        <w:t>四、投标人提交的其他资料（若有）</w:t>
      </w:r>
    </w:p>
    <w:p w14:paraId="0131161A">
      <w:pPr>
        <w:pStyle w:val="11"/>
        <w:keepNext w:val="0"/>
        <w:keepLines w:val="0"/>
        <w:pageBreakBefore w:val="0"/>
        <w:kinsoku/>
        <w:wordWrap/>
        <w:overflowPunct/>
        <w:topLinePunct w:val="0"/>
        <w:autoSpaceDE/>
        <w:autoSpaceDN/>
        <w:bidi w:val="0"/>
        <w:adjustRightInd/>
        <w:snapToGrid/>
        <w:spacing w:line="360" w:lineRule="auto"/>
        <w:ind w:firstLine="480"/>
        <w:jc w:val="center"/>
        <w:textAlignment w:val="auto"/>
        <w:rPr>
          <w:rFonts w:hint="eastAsia" w:ascii="宋体" w:hAnsi="宋体" w:eastAsia="宋体" w:cs="宋体"/>
          <w:sz w:val="24"/>
          <w:szCs w:val="24"/>
        </w:rPr>
      </w:pPr>
      <w:r>
        <w:rPr>
          <w:rFonts w:hint="eastAsia" w:ascii="宋体" w:hAnsi="宋体" w:eastAsia="宋体" w:cs="宋体"/>
          <w:sz w:val="24"/>
          <w:szCs w:val="24"/>
        </w:rPr>
        <w:t>编制说明</w:t>
      </w:r>
    </w:p>
    <w:p w14:paraId="4325B7EC">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1、招标文件要求提交的除“资格及资信证明部分”、“报价部分”外的其他证明材料或资料加盖投标人的单位公章后应在此项下提交。</w:t>
      </w:r>
    </w:p>
    <w:p w14:paraId="2FFCDC4A">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2、招标文件要求投标人提供方案（包括但不限于：组织、实施、技术、服务方案等）的，投标人应在此项下提交。</w:t>
      </w:r>
    </w:p>
    <w:p w14:paraId="6AFE76F3">
      <w:pPr>
        <w:pStyle w:val="11"/>
        <w:keepNext w:val="0"/>
        <w:keepLines w:val="0"/>
        <w:pageBreakBefore w:val="0"/>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sz w:val="24"/>
          <w:szCs w:val="24"/>
        </w:rPr>
        <w:t>3、除招标文件另有规定外，投标人认为需要提交的其他证明材料或资料加盖投标人的单位公章后应在此项下提交。</w:t>
      </w:r>
    </w:p>
    <w:sectPr>
      <w:footerReference r:id="rId3" w:type="default"/>
      <w:pgSz w:w="11906" w:h="16838"/>
      <w:pgMar w:top="1440" w:right="1440" w:bottom="144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016F7">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690585">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8690585">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0MTQwMTcxOWEwMDI2YWVhYWYyN2E0YjJiYzk5MjgifQ=="/>
  </w:docVars>
  <w:rsids>
    <w:rsidRoot w:val="53B52B8D"/>
    <w:rsid w:val="177F50ED"/>
    <w:rsid w:val="1B2D759B"/>
    <w:rsid w:val="1EC10726"/>
    <w:rsid w:val="2779716D"/>
    <w:rsid w:val="2EA046D5"/>
    <w:rsid w:val="384F0C8B"/>
    <w:rsid w:val="4D295043"/>
    <w:rsid w:val="5022399A"/>
    <w:rsid w:val="53B52B8D"/>
    <w:rsid w:val="56E26414"/>
    <w:rsid w:val="69966D59"/>
    <w:rsid w:val="6E964AC0"/>
    <w:rsid w:val="6F46228C"/>
    <w:rsid w:val="77F79321"/>
    <w:rsid w:val="BBBF77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customStyle="1" w:styleId="2">
    <w:name w:val="Default"/>
    <w:autoRedefine/>
    <w:qFormat/>
    <w:uiPriority w:val="99"/>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3">
    <w:name w:val="annotation text"/>
    <w:basedOn w:val="1"/>
    <w:unhideWhenUsed/>
    <w:qFormat/>
    <w:uiPriority w:val="0"/>
    <w:pPr>
      <w:jc w:val="left"/>
    </w:pPr>
  </w:style>
  <w:style w:type="paragraph" w:styleId="4">
    <w:name w:val="index 4"/>
    <w:basedOn w:val="1"/>
    <w:next w:val="1"/>
    <w:unhideWhenUsed/>
    <w:qFormat/>
    <w:uiPriority w:val="99"/>
    <w:pPr>
      <w:ind w:left="600" w:leftChars="6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0">
    <w:name w:val="Strong"/>
    <w:basedOn w:val="9"/>
    <w:qFormat/>
    <w:uiPriority w:val="0"/>
    <w:rPr>
      <w:b/>
    </w:rPr>
  </w:style>
  <w:style w:type="paragraph" w:customStyle="1" w:styleId="11">
    <w:name w:val="null3"/>
    <w:hidden/>
    <w:qFormat/>
    <w:uiPriority w:val="0"/>
    <w:rPr>
      <w:rFonts w:hint="eastAsia" w:asciiTheme="minorHAnsi" w:hAnsiTheme="minorHAnsi" w:eastAsiaTheme="minorEastAsia" w:cstheme="minorBidi"/>
      <w:lang w:val="en-US" w:eastAsia="zh-Hans"/>
    </w:rPr>
  </w:style>
  <w:style w:type="paragraph" w:customStyle="1" w:styleId="12">
    <w:name w:val="正文文字缩进"/>
    <w:basedOn w:val="1"/>
    <w:autoRedefine/>
    <w:qFormat/>
    <w:uiPriority w:val="0"/>
    <w:pPr>
      <w:spacing w:line="360" w:lineRule="auto"/>
      <w:ind w:firstLine="200" w:firstLineChars="200"/>
      <w:jc w:val="left"/>
    </w:pPr>
    <w:rPr>
      <w:rFonts w:eastAsia="仿宋" w:asciiTheme="minorHAnsi" w:hAnsiTheme="minorHAnsi" w:cstheme="minorBidi"/>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114</Pages>
  <Words>1958</Words>
  <Characters>2114</Characters>
  <Lines>0</Lines>
  <Paragraphs>0</Paragraphs>
  <TotalTime>20</TotalTime>
  <ScaleCrop>false</ScaleCrop>
  <LinksUpToDate>false</LinksUpToDate>
  <CharactersWithSpaces>2183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2022-04-08T19:57:00Z</dcterms:created>
  <dc:creator>administrator</dc:creator>
  <cp:lastModifiedBy>张美荣</cp:lastModifiedBy>
  <dcterms:modified xsi:type="dcterms:W3CDTF">2025-12-07T08:23:10Z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1DF11BE3B0614F7593793AC4C15C213C_12</vt:lpwstr>
  </property>
  <property fmtid="{D5CDD505-2E9C-101B-9397-08002B2CF9AE}" pid="4" name="KSOTemplateDocerSaveRecord">
    <vt:lpwstr>eyJoZGlkIjoiMTAwNzNhZmIzMmRlZDZkMGIzNzVjNGYyODYxZWNhOWEiLCJ1c2VySWQiOiIxNDU1ODAxMTg4In0=</vt:lpwstr>
  </property>
</Properties>
</file>