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B802B3"/>
    <w:p w14:paraId="312801D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90130"/>
            <wp:effectExtent l="0" t="0" r="0" b="1270"/>
            <wp:docPr id="1" name="图片 1" descr="永辉彩食鲜供应链管理有限公司《残疾人福利性单位声明函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永辉彩食鲜供应链管理有限公司《残疾人福利性单位声明函》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901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9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E76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2025-11-12T07:18:15Z</dcterms:created>
  <dc:creator>86157</dc:creator>
  <cp:lastModifiedBy>RW</cp:lastModifiedBy>
  <dcterms:modified xsi:type="dcterms:W3CDTF">2025-11-12T07:18:33Z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eyJoZGlkIjoiYmIyZWRhZGM0Y2M1MWYxYzJlODQwNDRmNjM4ZGUxYzEiLCJ1c2VySWQiOiIxOTk0MjI1OTkifQ==</vt:lpwstr>
  </property>
  <property fmtid="{D5CDD505-2E9C-101B-9397-08002B2CF9AE}" pid="4" name="ICV">
    <vt:lpwstr>47013958101B4670805BAF9C15229DF2_12</vt:lpwstr>
  </property>
</Properties>
</file>